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38" w:rsidRPr="00DB1DCC" w:rsidRDefault="002D1F30" w:rsidP="00CC0BBE">
      <w:pPr>
        <w:spacing w:after="0" w:line="240" w:lineRule="auto"/>
        <w:ind w:left="0"/>
        <w:jc w:val="right"/>
        <w:rPr>
          <w:rFonts w:ascii="Arial Narrow" w:hAnsi="Arial Narrow"/>
          <w:b/>
          <w:color w:val="002060"/>
          <w:sz w:val="24"/>
          <w:szCs w:val="24"/>
        </w:rPr>
      </w:pPr>
      <w:r>
        <w:rPr>
          <w:rFonts w:ascii="Arial Narrow" w:hAnsi="Arial Narrow"/>
          <w:b/>
          <w:color w:val="002060"/>
          <w:sz w:val="24"/>
          <w:szCs w:val="24"/>
        </w:rPr>
        <w:t>ANEXA 3 LA HOTĂRÂREA CONSILIULUI LOCAL AL MUNICIPIULUI CRAIOVA NR.108/2023</w:t>
      </w:r>
    </w:p>
    <w:p w:rsidR="00CC0BBE" w:rsidRDefault="00CC0BBE" w:rsidP="00F005DA">
      <w:pPr>
        <w:spacing w:after="0" w:line="240" w:lineRule="auto"/>
        <w:ind w:left="0"/>
        <w:jc w:val="center"/>
        <w:rPr>
          <w:rFonts w:ascii="Arial Narrow" w:hAnsi="Arial Narrow"/>
          <w:b/>
          <w:color w:val="002060"/>
          <w:sz w:val="24"/>
          <w:szCs w:val="24"/>
        </w:rPr>
      </w:pPr>
    </w:p>
    <w:p w:rsidR="003504D4" w:rsidRPr="00DB1DCC" w:rsidRDefault="001117A9" w:rsidP="00F005DA">
      <w:pPr>
        <w:spacing w:after="0" w:line="240" w:lineRule="auto"/>
        <w:ind w:left="0"/>
        <w:jc w:val="center"/>
        <w:rPr>
          <w:rFonts w:ascii="Arial Narrow" w:hAnsi="Arial Narrow"/>
          <w:b/>
          <w:color w:val="002060"/>
          <w:sz w:val="24"/>
          <w:szCs w:val="24"/>
        </w:rPr>
      </w:pPr>
      <w:r w:rsidRPr="00DB1DCC">
        <w:rPr>
          <w:rFonts w:ascii="Arial Narrow" w:hAnsi="Arial Narrow"/>
          <w:b/>
          <w:color w:val="002060"/>
          <w:sz w:val="24"/>
          <w:szCs w:val="24"/>
        </w:rPr>
        <w:t>NOTĂ DE FUNDAMENTARE</w:t>
      </w:r>
    </w:p>
    <w:p w:rsidR="004412FA" w:rsidRPr="00DB1DCC" w:rsidRDefault="00E77117" w:rsidP="00F005DA">
      <w:pPr>
        <w:spacing w:after="0" w:line="240" w:lineRule="auto"/>
        <w:ind w:left="0"/>
        <w:jc w:val="center"/>
        <w:rPr>
          <w:rFonts w:ascii="Arial Narrow" w:hAnsi="Arial Narrow"/>
          <w:b/>
          <w:color w:val="002060"/>
          <w:sz w:val="24"/>
          <w:szCs w:val="24"/>
        </w:rPr>
      </w:pPr>
      <w:r w:rsidRPr="00DB1DCC">
        <w:rPr>
          <w:rFonts w:ascii="Arial Narrow" w:hAnsi="Arial Narrow"/>
          <w:b/>
          <w:color w:val="002060"/>
          <w:sz w:val="24"/>
          <w:szCs w:val="24"/>
        </w:rPr>
        <w:t>privind necesitatea și oportunitatea investiției</w:t>
      </w:r>
    </w:p>
    <w:p w:rsidR="00E77117" w:rsidRPr="00DB1DCC" w:rsidRDefault="005F7838" w:rsidP="00F005DA">
      <w:pPr>
        <w:spacing w:after="0" w:line="240" w:lineRule="auto"/>
        <w:ind w:left="0"/>
        <w:jc w:val="center"/>
        <w:rPr>
          <w:rFonts w:ascii="Arial Narrow" w:hAnsi="Arial Narrow"/>
          <w:b/>
          <w:color w:val="002060"/>
          <w:sz w:val="24"/>
          <w:szCs w:val="24"/>
        </w:rPr>
      </w:pPr>
      <w:r>
        <w:rPr>
          <w:rFonts w:ascii="Arial Narrow" w:hAnsi="Arial Narrow"/>
          <w:b/>
          <w:color w:val="002060"/>
          <w:sz w:val="24"/>
          <w:szCs w:val="24"/>
        </w:rPr>
        <w:t>construire</w:t>
      </w:r>
      <w:r w:rsidR="009223C7">
        <w:rPr>
          <w:rFonts w:ascii="Arial Narrow" w:hAnsi="Arial Narrow"/>
          <w:b/>
          <w:color w:val="002060"/>
          <w:sz w:val="24"/>
          <w:szCs w:val="24"/>
        </w:rPr>
        <w:t>a unui campus în cadrul proiectului</w:t>
      </w:r>
      <w:r w:rsidRPr="00B724A2">
        <w:rPr>
          <w:rFonts w:ascii="Arial Narrow" w:hAnsi="Arial Narrow"/>
          <w:b/>
          <w:bCs/>
          <w:i/>
          <w:iCs/>
          <w:color w:val="002060"/>
          <w:sz w:val="24"/>
          <w:szCs w:val="24"/>
        </w:rPr>
        <w:t>„Campus Regional Oltenia pentru Învăţământul Dual”</w:t>
      </w:r>
    </w:p>
    <w:p w:rsidR="00FE6811" w:rsidRPr="00DB1DCC" w:rsidRDefault="00FE6811" w:rsidP="00F005DA">
      <w:pPr>
        <w:spacing w:after="0" w:line="240" w:lineRule="auto"/>
        <w:ind w:left="0"/>
        <w:rPr>
          <w:rFonts w:ascii="Arial Narrow" w:hAnsi="Arial Narrow"/>
          <w:bCs/>
          <w:color w:val="002060"/>
          <w:sz w:val="24"/>
          <w:szCs w:val="24"/>
        </w:rPr>
      </w:pPr>
    </w:p>
    <w:p w:rsidR="00FE6811" w:rsidRPr="00DB1DCC" w:rsidRDefault="00FE6811" w:rsidP="00F005DA">
      <w:pPr>
        <w:spacing w:after="0" w:line="240" w:lineRule="auto"/>
        <w:ind w:left="0"/>
        <w:rPr>
          <w:rFonts w:ascii="Arial Narrow" w:hAnsi="Arial Narrow"/>
          <w:bCs/>
          <w:color w:val="002060"/>
          <w:sz w:val="24"/>
          <w:szCs w:val="24"/>
        </w:rPr>
      </w:pPr>
    </w:p>
    <w:p w:rsidR="00E77117" w:rsidRPr="00DB1DCC" w:rsidRDefault="00CB2EE0" w:rsidP="00F005DA">
      <w:pPr>
        <w:spacing w:after="0" w:line="240" w:lineRule="auto"/>
        <w:ind w:left="0"/>
        <w:rPr>
          <w:rFonts w:ascii="Arial Narrow" w:hAnsi="Arial Narrow"/>
          <w:bCs/>
          <w:color w:val="002060"/>
          <w:sz w:val="24"/>
          <w:szCs w:val="24"/>
        </w:rPr>
      </w:pPr>
      <w:r w:rsidRPr="00DB1DCC">
        <w:rPr>
          <w:rFonts w:ascii="Arial Narrow" w:hAnsi="Arial Narrow"/>
          <w:bCs/>
          <w:color w:val="002060"/>
          <w:sz w:val="24"/>
          <w:szCs w:val="24"/>
        </w:rPr>
        <w:t>în vederea finanțării prin</w:t>
      </w:r>
    </w:p>
    <w:p w:rsidR="00E77117" w:rsidRPr="00DB1DCC" w:rsidRDefault="00CB2EE0" w:rsidP="00F005DA">
      <w:pPr>
        <w:spacing w:after="0" w:line="240" w:lineRule="auto"/>
        <w:ind w:left="0"/>
        <w:rPr>
          <w:rFonts w:ascii="Arial Narrow" w:hAnsi="Arial Narrow"/>
          <w:b/>
          <w:bCs/>
          <w:color w:val="002060"/>
          <w:sz w:val="24"/>
          <w:szCs w:val="24"/>
        </w:rPr>
      </w:pPr>
      <w:r w:rsidRPr="00DB1DCC">
        <w:rPr>
          <w:rFonts w:ascii="Arial Narrow" w:eastAsia="Arial Narrow" w:hAnsi="Arial Narrow" w:cs="Arial Narrow"/>
          <w:b/>
          <w:bCs/>
          <w:color w:val="002060"/>
          <w:sz w:val="24"/>
          <w:szCs w:val="24"/>
        </w:rPr>
        <w:t>PLANUL NAȚIONAL DE REDRESARE ȘI REZILIENȚĂ</w:t>
      </w:r>
    </w:p>
    <w:p w:rsidR="00DC68C8" w:rsidRPr="00DB1DCC" w:rsidRDefault="00CB2EE0" w:rsidP="00F005DA">
      <w:pPr>
        <w:tabs>
          <w:tab w:val="left" w:pos="1620"/>
        </w:tabs>
        <w:spacing w:after="0" w:line="240" w:lineRule="auto"/>
        <w:ind w:left="0"/>
        <w:rPr>
          <w:rFonts w:ascii="Arial Narrow" w:hAnsi="Arial Narrow"/>
          <w:color w:val="002060"/>
          <w:sz w:val="24"/>
          <w:szCs w:val="24"/>
        </w:rPr>
      </w:pPr>
      <w:r w:rsidRPr="00DB1DCC">
        <w:rPr>
          <w:rFonts w:ascii="Arial Narrow" w:eastAsia="SimSun" w:hAnsi="Arial Narrow" w:cs="Arial"/>
          <w:color w:val="002060"/>
          <w:sz w:val="24"/>
          <w:szCs w:val="24"/>
        </w:rPr>
        <w:t xml:space="preserve">Pilonul </w:t>
      </w:r>
      <w:r w:rsidRPr="00DB1DCC">
        <w:rPr>
          <w:rFonts w:ascii="Arial Narrow" w:eastAsia="SimSun" w:hAnsi="Arial Narrow" w:cs="Arial"/>
          <w:b/>
          <w:bCs/>
          <w:color w:val="002060"/>
          <w:sz w:val="24"/>
          <w:szCs w:val="24"/>
        </w:rPr>
        <w:t>VI</w:t>
      </w:r>
      <w:r w:rsidRPr="00DB1DCC">
        <w:rPr>
          <w:rFonts w:ascii="Arial Narrow" w:eastAsia="SimSun" w:hAnsi="Arial Narrow" w:cs="Arial"/>
          <w:color w:val="002060"/>
          <w:sz w:val="24"/>
          <w:szCs w:val="24"/>
        </w:rPr>
        <w:tab/>
        <w:t xml:space="preserve">- </w:t>
      </w:r>
      <w:r w:rsidRPr="00DB1DCC">
        <w:rPr>
          <w:rFonts w:ascii="Arial Narrow" w:hAnsi="Arial Narrow"/>
          <w:b/>
          <w:bCs/>
          <w:color w:val="002060"/>
          <w:sz w:val="24"/>
          <w:szCs w:val="24"/>
        </w:rPr>
        <w:t>Politici pentru noua generație</w:t>
      </w:r>
    </w:p>
    <w:p w:rsidR="00CB2EE0" w:rsidRPr="00DB1DCC" w:rsidRDefault="00CB2EE0" w:rsidP="00F005DA">
      <w:pPr>
        <w:tabs>
          <w:tab w:val="left" w:pos="1620"/>
        </w:tabs>
        <w:spacing w:after="0" w:line="240" w:lineRule="auto"/>
        <w:ind w:left="0"/>
        <w:rPr>
          <w:rFonts w:ascii="Arial Narrow" w:eastAsia="Arial Narrow" w:hAnsi="Arial Narrow" w:cs="Arial Narrow"/>
          <w:color w:val="002060"/>
          <w:sz w:val="24"/>
          <w:szCs w:val="24"/>
        </w:rPr>
      </w:pPr>
      <w:r w:rsidRPr="00DB1DCC">
        <w:rPr>
          <w:rFonts w:ascii="Arial Narrow" w:eastAsia="Arial Narrow" w:hAnsi="Arial Narrow" w:cs="Arial Narrow"/>
          <w:color w:val="002060"/>
          <w:sz w:val="24"/>
          <w:szCs w:val="24"/>
        </w:rPr>
        <w:t xml:space="preserve">Componenta </w:t>
      </w:r>
      <w:r w:rsidRPr="00DB1DCC">
        <w:rPr>
          <w:rFonts w:ascii="Arial Narrow" w:eastAsia="Arial Narrow" w:hAnsi="Arial Narrow" w:cs="Arial Narrow"/>
          <w:b/>
          <w:bCs/>
          <w:color w:val="002060"/>
          <w:sz w:val="24"/>
          <w:szCs w:val="24"/>
        </w:rPr>
        <w:t>15</w:t>
      </w:r>
      <w:r w:rsidRPr="00DB1DCC">
        <w:rPr>
          <w:rFonts w:ascii="Arial Narrow" w:eastAsia="Arial Narrow" w:hAnsi="Arial Narrow" w:cs="Arial Narrow"/>
          <w:color w:val="002060"/>
          <w:sz w:val="24"/>
          <w:szCs w:val="24"/>
        </w:rPr>
        <w:tab/>
        <w:t xml:space="preserve">- </w:t>
      </w:r>
      <w:r w:rsidRPr="00DB1DCC">
        <w:rPr>
          <w:rFonts w:ascii="Arial Narrow" w:eastAsia="Arial Narrow" w:hAnsi="Arial Narrow" w:cs="Arial Narrow"/>
          <w:b/>
          <w:bCs/>
          <w:color w:val="002060"/>
          <w:sz w:val="24"/>
          <w:szCs w:val="24"/>
        </w:rPr>
        <w:t>Educație</w:t>
      </w:r>
    </w:p>
    <w:p w:rsidR="00CB2EE0" w:rsidRPr="00DB1DCC" w:rsidRDefault="00CB2EE0" w:rsidP="00F005DA">
      <w:pPr>
        <w:tabs>
          <w:tab w:val="left" w:pos="1620"/>
        </w:tabs>
        <w:spacing w:after="0" w:line="240" w:lineRule="auto"/>
        <w:ind w:left="0"/>
        <w:rPr>
          <w:rFonts w:ascii="Arial Narrow" w:eastAsia="Arial Narrow" w:hAnsi="Arial Narrow" w:cs="Arial Narrow"/>
          <w:color w:val="002060"/>
          <w:sz w:val="24"/>
          <w:szCs w:val="24"/>
        </w:rPr>
      </w:pPr>
      <w:r w:rsidRPr="00DB1DCC">
        <w:rPr>
          <w:rFonts w:ascii="Arial Narrow" w:eastAsia="Arial Narrow" w:hAnsi="Arial Narrow" w:cs="Arial Narrow"/>
          <w:color w:val="002060"/>
          <w:sz w:val="24"/>
          <w:szCs w:val="24"/>
        </w:rPr>
        <w:t xml:space="preserve">Reforma </w:t>
      </w:r>
      <w:r w:rsidRPr="00DB1DCC">
        <w:rPr>
          <w:rFonts w:ascii="Arial Narrow" w:eastAsia="Arial Narrow" w:hAnsi="Arial Narrow" w:cs="Arial Narrow"/>
          <w:b/>
          <w:bCs/>
          <w:color w:val="002060"/>
          <w:sz w:val="24"/>
          <w:szCs w:val="24"/>
        </w:rPr>
        <w:t>4</w:t>
      </w:r>
      <w:r w:rsidRPr="00DB1DCC">
        <w:rPr>
          <w:rFonts w:ascii="Arial Narrow" w:eastAsia="Arial Narrow" w:hAnsi="Arial Narrow" w:cs="Arial Narrow"/>
          <w:color w:val="002060"/>
          <w:sz w:val="24"/>
          <w:szCs w:val="24"/>
        </w:rPr>
        <w:tab/>
        <w:t xml:space="preserve">- </w:t>
      </w:r>
      <w:r w:rsidRPr="00DB1DCC">
        <w:rPr>
          <w:rFonts w:ascii="Arial Narrow" w:eastAsia="Arial Narrow" w:hAnsi="Arial Narrow" w:cs="Arial Narrow"/>
          <w:b/>
          <w:bCs/>
          <w:color w:val="002060"/>
          <w:sz w:val="24"/>
          <w:szCs w:val="24"/>
        </w:rPr>
        <w:t>Crearea unei rute profesionale complete pentru învățământul tehnic superior</w:t>
      </w:r>
    </w:p>
    <w:p w:rsidR="00CB2EE0" w:rsidRPr="00C024EE" w:rsidRDefault="00CB2EE0" w:rsidP="00B724A2">
      <w:pPr>
        <w:tabs>
          <w:tab w:val="left" w:pos="1620"/>
        </w:tabs>
        <w:spacing w:after="0" w:line="240" w:lineRule="auto"/>
        <w:ind w:left="1800" w:hanging="1800"/>
        <w:jc w:val="left"/>
        <w:rPr>
          <w:rFonts w:ascii="Arial Narrow" w:eastAsia="Arial Narrow" w:hAnsi="Arial Narrow" w:cs="Arial Narrow"/>
          <w:bCs/>
          <w:color w:val="002060"/>
          <w:sz w:val="24"/>
          <w:szCs w:val="24"/>
        </w:rPr>
      </w:pPr>
      <w:r w:rsidRPr="00DB1DCC">
        <w:rPr>
          <w:rFonts w:ascii="Arial Narrow" w:eastAsia="Arial Narrow" w:hAnsi="Arial Narrow" w:cs="Arial Narrow"/>
          <w:color w:val="002060"/>
          <w:sz w:val="24"/>
          <w:szCs w:val="24"/>
        </w:rPr>
        <w:t xml:space="preserve">Investiția </w:t>
      </w:r>
      <w:r w:rsidRPr="00DB1DCC">
        <w:rPr>
          <w:rFonts w:ascii="Arial Narrow" w:eastAsia="Arial Narrow" w:hAnsi="Arial Narrow" w:cs="Arial Narrow"/>
          <w:b/>
          <w:bCs/>
          <w:color w:val="002060"/>
          <w:sz w:val="24"/>
          <w:szCs w:val="24"/>
        </w:rPr>
        <w:t>6</w:t>
      </w:r>
      <w:r w:rsidRPr="00DB1DCC">
        <w:rPr>
          <w:rFonts w:ascii="Arial Narrow" w:eastAsia="Arial Narrow" w:hAnsi="Arial Narrow" w:cs="Arial Narrow"/>
          <w:color w:val="002060"/>
          <w:sz w:val="24"/>
          <w:szCs w:val="24"/>
        </w:rPr>
        <w:tab/>
        <w:t xml:space="preserve">- </w:t>
      </w:r>
      <w:r w:rsidRPr="00DB1DCC">
        <w:rPr>
          <w:rFonts w:ascii="Arial Narrow" w:eastAsia="Arial Narrow" w:hAnsi="Arial Narrow" w:cs="Arial Narrow"/>
          <w:b/>
          <w:bCs/>
          <w:color w:val="002060"/>
          <w:sz w:val="24"/>
          <w:szCs w:val="24"/>
        </w:rPr>
        <w:t>Dezvoltarea a minimum 10 consorții regionale și dezvoltarea și dotarea a minimum 10 campusuri profesionale integrate</w:t>
      </w:r>
    </w:p>
    <w:p w:rsidR="00C024EE" w:rsidRDefault="00080C3B" w:rsidP="00C024EE">
      <w:pPr>
        <w:shd w:val="clear" w:color="auto" w:fill="FFFFFF" w:themeFill="background1"/>
        <w:spacing w:after="0" w:line="240" w:lineRule="auto"/>
        <w:ind w:left="0"/>
        <w:rPr>
          <w:rFonts w:ascii="Arial Narrow" w:eastAsia="Arial Narrow" w:hAnsi="Arial Narrow" w:cs="Arial Narrow"/>
          <w:bCs/>
          <w:color w:val="002060"/>
          <w:sz w:val="24"/>
          <w:szCs w:val="24"/>
        </w:rPr>
      </w:pPr>
      <w:r w:rsidRPr="00C024EE">
        <w:rPr>
          <w:rFonts w:ascii="Arial Narrow" w:eastAsia="Arial Narrow" w:hAnsi="Arial Narrow" w:cs="Arial Narrow"/>
          <w:bCs/>
          <w:color w:val="002060"/>
          <w:sz w:val="24"/>
          <w:szCs w:val="24"/>
        </w:rPr>
        <w:t>p</w:t>
      </w:r>
      <w:r w:rsidR="00CB2EE0" w:rsidRPr="00C024EE">
        <w:rPr>
          <w:rFonts w:ascii="Arial Narrow" w:eastAsia="Arial Narrow" w:hAnsi="Arial Narrow" w:cs="Arial Narrow"/>
          <w:bCs/>
          <w:color w:val="002060"/>
          <w:sz w:val="24"/>
          <w:szCs w:val="24"/>
        </w:rPr>
        <w:t>entru</w:t>
      </w:r>
      <w:r w:rsidR="00B724A2" w:rsidRPr="00C024EE">
        <w:rPr>
          <w:rFonts w:ascii="Arial Narrow" w:eastAsia="Arial Narrow" w:hAnsi="Arial Narrow" w:cs="Arial Narrow"/>
          <w:bCs/>
          <w:color w:val="002060"/>
          <w:sz w:val="24"/>
          <w:szCs w:val="24"/>
        </w:rPr>
        <w:t xml:space="preserve">construirea, dotarea și dezvoltarea unui campus pentru învățămantul dual </w:t>
      </w:r>
      <w:r w:rsidR="00C024EE" w:rsidRPr="00C024EE">
        <w:rPr>
          <w:rFonts w:ascii="Arial Narrow" w:eastAsia="Arial Narrow" w:hAnsi="Arial Narrow" w:cs="Arial Narrow"/>
          <w:bCs/>
          <w:color w:val="002060"/>
          <w:sz w:val="24"/>
          <w:szCs w:val="24"/>
        </w:rPr>
        <w:t>în</w:t>
      </w:r>
      <w:r w:rsidR="00CC0BBE" w:rsidRPr="00C024EE">
        <w:rPr>
          <w:rFonts w:ascii="Arial Narrow" w:eastAsia="Arial Narrow" w:hAnsi="Arial Narrow" w:cs="Arial Narrow"/>
          <w:bCs/>
          <w:color w:val="002060"/>
          <w:sz w:val="24"/>
          <w:szCs w:val="24"/>
        </w:rPr>
        <w:t>Judeţul Dolj, localitatea Craiova, strada Calea Bucureşti 325A,</w:t>
      </w:r>
      <w:r w:rsidR="00363843">
        <w:rPr>
          <w:rFonts w:ascii="Arial Narrow" w:eastAsia="Arial Narrow" w:hAnsi="Arial Narrow" w:cs="Arial Narrow"/>
          <w:bCs/>
          <w:color w:val="002060"/>
          <w:sz w:val="24"/>
          <w:szCs w:val="24"/>
        </w:rPr>
        <w:t xml:space="preserve"> pe terenul </w:t>
      </w:r>
      <w:r w:rsidR="00CC0BBE" w:rsidRPr="00C024EE">
        <w:rPr>
          <w:rFonts w:ascii="Arial Narrow" w:eastAsia="Arial Narrow" w:hAnsi="Arial Narrow" w:cs="Arial Narrow"/>
          <w:bCs/>
          <w:color w:val="002060"/>
          <w:sz w:val="24"/>
          <w:szCs w:val="24"/>
        </w:rPr>
        <w:t xml:space="preserve">aflat în proprietatea </w:t>
      </w:r>
      <w:r w:rsidR="00C024EE">
        <w:rPr>
          <w:rFonts w:ascii="Arial Narrow" w:eastAsia="Arial Narrow" w:hAnsi="Arial Narrow" w:cs="Arial Narrow"/>
          <w:bCs/>
          <w:color w:val="002060"/>
          <w:sz w:val="24"/>
          <w:szCs w:val="24"/>
        </w:rPr>
        <w:t>U.A.T-</w:t>
      </w:r>
      <w:r w:rsidR="00363843">
        <w:rPr>
          <w:rFonts w:ascii="Arial Narrow" w:eastAsia="Arial Narrow" w:hAnsi="Arial Narrow" w:cs="Arial Narrow"/>
          <w:bCs/>
          <w:color w:val="002060"/>
          <w:sz w:val="24"/>
          <w:szCs w:val="24"/>
        </w:rPr>
        <w:t>Judeţul</w:t>
      </w:r>
      <w:r w:rsidR="00C024EE" w:rsidRPr="00C024EE">
        <w:rPr>
          <w:rFonts w:ascii="Arial Narrow" w:eastAsia="Arial Narrow" w:hAnsi="Arial Narrow" w:cs="Arial Narrow"/>
          <w:bCs/>
          <w:color w:val="002060"/>
          <w:sz w:val="24"/>
          <w:szCs w:val="24"/>
        </w:rPr>
        <w:t>Dolj, domeniul public,  având cartea funciară Nr. 220944</w:t>
      </w:r>
      <w:r w:rsidR="00C024EE">
        <w:rPr>
          <w:rFonts w:ascii="Arial Narrow" w:eastAsia="Arial Narrow" w:hAnsi="Arial Narrow" w:cs="Arial Narrow"/>
          <w:bCs/>
          <w:color w:val="002060"/>
          <w:sz w:val="24"/>
          <w:szCs w:val="24"/>
        </w:rPr>
        <w:t>, conform extrasului de carte funciară pentru informare nr. 43664/14.02.2023</w:t>
      </w:r>
    </w:p>
    <w:p w:rsidR="00C024EE" w:rsidRDefault="00080C3B" w:rsidP="00C024EE">
      <w:pPr>
        <w:shd w:val="clear" w:color="auto" w:fill="FFFFFF" w:themeFill="background1"/>
        <w:spacing w:after="0" w:line="240" w:lineRule="auto"/>
        <w:ind w:left="0"/>
        <w:rPr>
          <w:rFonts w:ascii="Arial Narrow" w:hAnsi="Arial Narrow"/>
          <w:color w:val="002060"/>
        </w:rPr>
      </w:pPr>
      <w:r w:rsidRPr="00C024EE">
        <w:rPr>
          <w:rFonts w:ascii="Arial Narrow" w:hAnsi="Arial Narrow"/>
          <w:color w:val="002060"/>
          <w:sz w:val="24"/>
          <w:szCs w:val="24"/>
          <w:shd w:val="clear" w:color="auto" w:fill="FFFFFF" w:themeFill="background1"/>
        </w:rPr>
        <w:t xml:space="preserve">în cadrul Proiectului </w:t>
      </w:r>
      <w:r w:rsidR="00B724A2" w:rsidRPr="00C024EE">
        <w:rPr>
          <w:rFonts w:ascii="Arial Narrow" w:hAnsi="Arial Narrow"/>
          <w:b/>
          <w:bCs/>
          <w:i/>
          <w:iCs/>
          <w:color w:val="002060"/>
          <w:sz w:val="24"/>
          <w:szCs w:val="24"/>
        </w:rPr>
        <w:t>„Campus Regional Oltenia pentru Învăţământul Dual”</w:t>
      </w:r>
    </w:p>
    <w:p w:rsidR="00CB2EE0" w:rsidRPr="00C024EE" w:rsidRDefault="009A701F" w:rsidP="00C024EE">
      <w:pPr>
        <w:shd w:val="clear" w:color="auto" w:fill="FFFFFF" w:themeFill="background1"/>
        <w:spacing w:after="0" w:line="240" w:lineRule="auto"/>
        <w:ind w:left="0"/>
        <w:rPr>
          <w:rFonts w:ascii="Arial Narrow" w:eastAsia="Arial Narrow" w:hAnsi="Arial Narrow" w:cs="Arial Narrow"/>
          <w:bCs/>
          <w:color w:val="002060"/>
          <w:sz w:val="24"/>
          <w:szCs w:val="24"/>
        </w:rPr>
      </w:pPr>
      <w:r w:rsidRPr="00C024EE">
        <w:rPr>
          <w:rFonts w:ascii="Arial Narrow" w:hAnsi="Arial Narrow"/>
          <w:color w:val="002060"/>
          <w:sz w:val="24"/>
          <w:szCs w:val="24"/>
        </w:rPr>
        <w:t>în cadrul</w:t>
      </w:r>
      <w:r w:rsidRPr="00DB1DCC">
        <w:rPr>
          <w:rFonts w:ascii="Arial Narrow" w:hAnsi="Arial Narrow"/>
          <w:color w:val="002060"/>
          <w:sz w:val="24"/>
          <w:szCs w:val="24"/>
        </w:rPr>
        <w:t xml:space="preserve"> apelului </w:t>
      </w:r>
      <w:bookmarkStart w:id="0" w:name="_Hlk112677488"/>
      <w:r w:rsidRPr="00DB1DCC">
        <w:rPr>
          <w:rFonts w:ascii="Arial Narrow" w:eastAsia="Arial Narrow" w:hAnsi="Arial Narrow" w:cs="Arial Narrow"/>
          <w:b/>
          <w:bCs/>
          <w:color w:val="002060"/>
          <w:sz w:val="24"/>
          <w:szCs w:val="24"/>
        </w:rPr>
        <w:t xml:space="preserve">Program-pilot pentru dezvoltarea consorțiilor </w:t>
      </w:r>
      <w:r w:rsidR="009E3658" w:rsidRPr="00DB1DCC">
        <w:rPr>
          <w:rFonts w:ascii="Arial Narrow" w:eastAsia="Arial Narrow" w:hAnsi="Arial Narrow" w:cs="Arial Narrow"/>
          <w:b/>
          <w:bCs/>
          <w:color w:val="002060"/>
          <w:sz w:val="24"/>
          <w:szCs w:val="24"/>
        </w:rPr>
        <w:t xml:space="preserve">regionale </w:t>
      </w:r>
      <w:r w:rsidRPr="00DB1DCC">
        <w:rPr>
          <w:rFonts w:ascii="Arial Narrow" w:eastAsia="Arial Narrow" w:hAnsi="Arial Narrow" w:cs="Arial Narrow"/>
          <w:b/>
          <w:bCs/>
          <w:color w:val="002060"/>
          <w:sz w:val="24"/>
          <w:szCs w:val="24"/>
        </w:rPr>
        <w:t>pentru învățământ dual</w:t>
      </w:r>
      <w:bookmarkEnd w:id="0"/>
      <w:r w:rsidR="00F005DA" w:rsidRPr="00DB1DCC">
        <w:rPr>
          <w:rFonts w:ascii="Arial Narrow" w:hAnsi="Arial Narrow"/>
          <w:color w:val="002060"/>
          <w:sz w:val="24"/>
          <w:szCs w:val="24"/>
        </w:rPr>
        <w:t xml:space="preserve">lansat de </w:t>
      </w:r>
      <w:r w:rsidR="00F005DA" w:rsidRPr="00DB1DCC">
        <w:rPr>
          <w:rFonts w:ascii="Arial Narrow" w:hAnsi="Arial Narrow"/>
          <w:b/>
          <w:bCs/>
          <w:color w:val="002060"/>
          <w:sz w:val="24"/>
          <w:szCs w:val="24"/>
        </w:rPr>
        <w:t>Ministerul Educației</w:t>
      </w:r>
    </w:p>
    <w:p w:rsidR="00F005DA" w:rsidRPr="00DB1DCC" w:rsidRDefault="00F005DA" w:rsidP="00CB2EE0">
      <w:pPr>
        <w:spacing w:after="0" w:line="240" w:lineRule="auto"/>
        <w:ind w:left="0"/>
        <w:rPr>
          <w:rFonts w:ascii="Arial Narrow" w:hAnsi="Arial Narrow"/>
          <w:color w:val="002060"/>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8974"/>
      </w:tblGrid>
      <w:tr w:rsidR="00DB1DCC" w:rsidRPr="00DB1DCC" w:rsidTr="00F005DA">
        <w:tc>
          <w:tcPr>
            <w:tcW w:w="0" w:type="auto"/>
            <w:shd w:val="clear" w:color="auto" w:fill="auto"/>
            <w:vAlign w:val="center"/>
          </w:tcPr>
          <w:p w:rsidR="00080C3B" w:rsidRPr="00DB1DCC" w:rsidRDefault="00080C3B" w:rsidP="00F005DA">
            <w:pPr>
              <w:spacing w:after="0" w:line="240" w:lineRule="auto"/>
              <w:ind w:left="0"/>
              <w:jc w:val="left"/>
              <w:rPr>
                <w:rFonts w:ascii="Arial Narrow" w:hAnsi="Arial Narrow"/>
                <w:color w:val="002060"/>
                <w:sz w:val="24"/>
                <w:szCs w:val="24"/>
              </w:rPr>
            </w:pPr>
            <w:r w:rsidRPr="00DB1DCC">
              <w:rPr>
                <w:rFonts w:ascii="Arial Narrow" w:hAnsi="Arial Narrow"/>
                <w:color w:val="002060"/>
                <w:sz w:val="24"/>
                <w:szCs w:val="24"/>
              </w:rPr>
              <w:t>1.</w:t>
            </w:r>
          </w:p>
        </w:tc>
        <w:tc>
          <w:tcPr>
            <w:tcW w:w="8974" w:type="dxa"/>
            <w:shd w:val="clear" w:color="auto" w:fill="auto"/>
            <w:vAlign w:val="center"/>
          </w:tcPr>
          <w:p w:rsidR="00080C3B" w:rsidRPr="00D626F3" w:rsidRDefault="00080C3B" w:rsidP="0085751B">
            <w:pPr>
              <w:spacing w:after="0" w:line="240" w:lineRule="auto"/>
              <w:ind w:left="0"/>
              <w:jc w:val="left"/>
              <w:rPr>
                <w:rFonts w:ascii="Arial Narrow" w:hAnsi="Arial Narrow"/>
                <w:b/>
                <w:bCs/>
                <w:color w:val="002060"/>
                <w:sz w:val="24"/>
                <w:szCs w:val="24"/>
                <w:u w:val="single"/>
              </w:rPr>
            </w:pPr>
            <w:r w:rsidRPr="00D626F3">
              <w:rPr>
                <w:rFonts w:ascii="Arial Narrow" w:hAnsi="Arial Narrow"/>
                <w:b/>
                <w:bCs/>
                <w:color w:val="002060"/>
                <w:sz w:val="24"/>
                <w:szCs w:val="24"/>
                <w:u w:val="single"/>
              </w:rPr>
              <w:t>Descrierea pe scurt a situației actuale (date statistice, elemente specifice, etc.)</w:t>
            </w:r>
          </w:p>
          <w:p w:rsidR="00C33B1F" w:rsidRPr="00C33B1F" w:rsidRDefault="00C33B1F" w:rsidP="00C33B1F">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lang w:eastAsia="en-GB"/>
              </w:rPr>
              <w:t>În regiunea Sud Vest Oltenia, educația și formarea profesională se dezvoltă în contextul larg al dezvoltării regionale și locale, ale căror direcții sunt date de documentele strategice pentru perioada actuală de programare.</w:t>
            </w:r>
          </w:p>
          <w:p w:rsidR="00C33B1F" w:rsidRPr="00C33B1F" w:rsidRDefault="00C33B1F" w:rsidP="00C33B1F">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i/>
                <w:iCs/>
                <w:u w:val="single"/>
                <w:lang w:eastAsia="en-GB"/>
              </w:rPr>
              <w:t>Din analiza situației demografice actuale</w:t>
            </w:r>
            <w:r w:rsidRPr="00C33B1F">
              <w:rPr>
                <w:rFonts w:ascii="Arial Narrow" w:eastAsia="Calibri" w:hAnsi="Arial Narrow" w:cs="Calibri"/>
                <w:lang w:eastAsia="en-GB"/>
              </w:rPr>
              <w:t xml:space="preserve"> se desprinde concluzia scăderii semnificative a populației totale, determinată, în principal, de manifestarea superioară a mortalității, comparativ cu natalitatea și generarea unui spor natural negativ. Procesul lent, dar constant, de îmbătrânire demografică este caracteristic tuturor județelor componente și se constituie într-un fenomen ce contribuie în mod direct la reducerea ponderii populației tinere, cu implicații negative directe pentru economie și societate.</w:t>
            </w:r>
          </w:p>
          <w:p w:rsidR="00C33B1F" w:rsidRPr="00C33B1F" w:rsidRDefault="00C33B1F" w:rsidP="00C33B1F">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lang w:eastAsia="en-GB"/>
              </w:rPr>
              <w:t xml:space="preserve">Astfel, la 1 iulie 2021, regiunea Sud-Vest Oltenia avea o populație de 2.115.230 locuitori, reprezentând 9,78% din populația totală a țării, cu o densitate de 74,2 locuitori/ km2, aflându-se pe locul 6 între regiunile țării. Cel mai populat județ (93,1 loc/km²), județul Dolj, este din perspectiva suprafeței și a populației stabile, cel mai mare din regiunea Sud-Vest Oltenia și unul dintre cele mai importante din România (locul VIII), cu o densitate a populației ce depășește media regională și națională. </w:t>
            </w:r>
          </w:p>
          <w:p w:rsidR="00C33B1F" w:rsidRPr="00C33B1F" w:rsidRDefault="00C33B1F" w:rsidP="00C33B1F">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lang w:eastAsia="en-GB"/>
              </w:rPr>
              <w:t>Analiza evoluției grupelor de vârstă 10-14 ani, 15-19 ani și 20-24 ani, în regiunea Sud-Vest Oltenia, relevante pentru educație, arată scăderea ponderii pe toate aceste segmente, scăderi care sunt reflectate în mod direct în planul de școlarizare propus/realizat, unde sau evidențiat scăderi importante, mai ales la învățământul profesional și tehnic.</w:t>
            </w:r>
          </w:p>
          <w:p w:rsidR="00C33B1F" w:rsidRPr="00C33B1F" w:rsidRDefault="00C33B1F" w:rsidP="00C33B1F">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lang w:eastAsia="en-GB"/>
              </w:rPr>
              <w:t>Se remarcă, de asemenea, preponderența populației rurale față de populația din mediul urban, pe toate grupele de vârstă școlară (10-14 ani, 15-19 ani și 20-24 ani), având drept consecință ruralizarea regiunii.</w:t>
            </w:r>
          </w:p>
          <w:p w:rsidR="00C33B1F" w:rsidRPr="00C33B1F" w:rsidRDefault="00C33B1F" w:rsidP="00C33B1F">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lang w:eastAsia="en-GB"/>
              </w:rPr>
              <w:t xml:space="preserve">În perspectiva anului 2060, pe fondul menținerii unor valori scăzute ale natalității și fertilității, precum și odată cu înaintarea în vârstă a generațiilor, diferite ca mărime, structura pe grupe mari de vârstă a populației va continua să se modifice, în sensul reducerii numărului tinerilor și al creșterii numărului de persoane adulte și vârstnice. </w:t>
            </w:r>
          </w:p>
          <w:p w:rsidR="00C33B1F" w:rsidRPr="00C33B1F" w:rsidRDefault="00C33B1F" w:rsidP="00C33B1F">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lang w:eastAsia="en-GB"/>
              </w:rPr>
              <w:t xml:space="preserve">Din punct de vedere etnic, regiunea Sud Vest Oltenia este relativ omogenă. Datele statistice indică existența unui procent de 91,6% de etnici români, 3,08% populație de etnie romă și 5,32% populație de alte etnii, din care, în număr mai mare sunt: sârbi, maghiari, cehi, germani, turci, italieni, macedoneni și greci. Procentele cele mai mari de etnici romi din totalul populației județelor, sunt în Dolj (4,51%) și în Mehedinți (4,11%). În ceea ce privește nivelul de educație, se remarcă faptul că cel mai mare procent de populație fără școală </w:t>
            </w:r>
            <w:r w:rsidRPr="00C33B1F">
              <w:rPr>
                <w:rFonts w:ascii="Arial Narrow" w:eastAsia="Calibri" w:hAnsi="Arial Narrow" w:cs="Calibri"/>
                <w:lang w:eastAsia="en-GB"/>
              </w:rPr>
              <w:lastRenderedPageBreak/>
              <w:t xml:space="preserve">absolvită este cea de etnie romă, în toate județele regiunii Sud Vest Oltenia. </w:t>
            </w:r>
          </w:p>
          <w:p w:rsidR="00C33B1F" w:rsidRPr="00C33B1F" w:rsidRDefault="00C33B1F" w:rsidP="00C33B1F">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lang w:eastAsia="en-GB"/>
              </w:rPr>
              <w:t xml:space="preserve">De asemenea, </w:t>
            </w:r>
            <w:r w:rsidRPr="00C33B1F">
              <w:rPr>
                <w:rFonts w:ascii="Arial Narrow" w:eastAsia="Calibri" w:hAnsi="Arial Narrow" w:cs="Calibri"/>
                <w:i/>
                <w:iCs/>
                <w:u w:val="single"/>
                <w:lang w:eastAsia="en-GB"/>
              </w:rPr>
              <w:t>din punct de vedere social</w:t>
            </w:r>
            <w:r w:rsidRPr="00C33B1F">
              <w:rPr>
                <w:rFonts w:ascii="Arial Narrow" w:eastAsia="Calibri" w:hAnsi="Arial Narrow" w:cs="Calibri"/>
                <w:lang w:eastAsia="en-GB"/>
              </w:rPr>
              <w:t>, ponderea persoanelor amenințate de sărăcie sau de excluziune socială este ridicată, atât la nivel național, cât și la nivel regional, chiar dacă sunt semnalate scăderi ale procentelor în toate regiunile.Impactul sărăciei asupra educației este unul semnificativ, principala cauză a abandonului școlar fiind lipsa resurselor financiare. Asigurarea accesului la învățătură este primordială în ruperea cercului sărăciei și în promovarea unei incluziuni sociale reale.</w:t>
            </w:r>
          </w:p>
          <w:p w:rsidR="00C33B1F" w:rsidRPr="00C33B1F" w:rsidRDefault="00C33B1F" w:rsidP="00C33B1F">
            <w:pPr>
              <w:suppressAutoHyphens/>
              <w:autoSpaceDN w:val="0"/>
              <w:spacing w:line="240" w:lineRule="auto"/>
              <w:ind w:left="0"/>
              <w:textAlignment w:val="baseline"/>
              <w:rPr>
                <w:rFonts w:ascii="Arial Narrow" w:eastAsia="Calibri" w:hAnsi="Arial Narrow" w:cs="Calibri"/>
                <w:b/>
                <w:bCs/>
                <w:i/>
                <w:iCs/>
                <w:u w:val="single"/>
                <w:lang w:eastAsia="en-GB"/>
              </w:rPr>
            </w:pPr>
            <w:r w:rsidRPr="00C33B1F">
              <w:rPr>
                <w:rFonts w:ascii="Arial Narrow" w:eastAsia="Calibri" w:hAnsi="Arial Narrow" w:cs="Calibri"/>
                <w:u w:val="single"/>
                <w:lang w:eastAsia="en-GB"/>
              </w:rPr>
              <w:t>În consecință, se impun măsuri care să susțină educația și formarea în rândul categoriilor defavorizate, în sprijinul integrării acestora în societate.</w:t>
            </w:r>
          </w:p>
          <w:p w:rsidR="00C33B1F" w:rsidRPr="00C33B1F" w:rsidRDefault="00C33B1F" w:rsidP="00C33B1F">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i/>
                <w:iCs/>
                <w:u w:val="single"/>
                <w:lang w:eastAsia="en-GB"/>
              </w:rPr>
              <w:t>Sub aspect economic</w:t>
            </w:r>
            <w:r w:rsidRPr="00C33B1F">
              <w:rPr>
                <w:rFonts w:ascii="Arial Narrow" w:eastAsia="Calibri" w:hAnsi="Arial Narrow" w:cs="Calibri"/>
                <w:lang w:eastAsia="en-GB"/>
              </w:rPr>
              <w:t>, există orașe care posedă o structură economică polifuncțională – în special, municipiile reședință de județ și orașe cu o structură economică precară – avem în vedere, cu deosebire, pe cele monoindustriale, acestea fiind și majoritare. Mediul economic puțin dezvoltat generează nu doar un nivel de trai scăzut, dar și o migrare a populației către localitățile cu capacități de absorbție a forței de muncă și către alte țări din Europa ori din lume.</w:t>
            </w:r>
          </w:p>
          <w:p w:rsidR="00080C3B" w:rsidRPr="00D626F3" w:rsidRDefault="00C33B1F" w:rsidP="00D626F3">
            <w:pPr>
              <w:suppressAutoHyphens/>
              <w:autoSpaceDN w:val="0"/>
              <w:spacing w:line="240" w:lineRule="auto"/>
              <w:ind w:left="0"/>
              <w:textAlignment w:val="baseline"/>
              <w:rPr>
                <w:rFonts w:ascii="Arial Narrow" w:eastAsia="Calibri" w:hAnsi="Arial Narrow" w:cs="Calibri"/>
                <w:lang w:eastAsia="en-GB"/>
              </w:rPr>
            </w:pPr>
            <w:r w:rsidRPr="00C33B1F">
              <w:rPr>
                <w:rFonts w:ascii="Arial Narrow" w:eastAsia="Calibri" w:hAnsi="Arial Narrow" w:cs="Calibri"/>
                <w:lang w:eastAsia="en-GB"/>
              </w:rPr>
              <w:t>Analiza mediului economic regional relevă faptul că diminuarea disparităților interegionale în ceea ce privește sectoarele economice trebuie susținută și prin educație și formare de calitate, care să ofere absolvenților posibilitatea să acceadă pe piața muncii și în același timp să își dezvolte aptitudinile antreprenoriale. Ca răspuns la schimbările tehnologice şi organizaţionale induse de investiţiile străine şi cerinţele de competitivitate, trebuie avută în vederedezvoltarea continuă a parteneriatelor între operatorii economici și școli pentru identificarea și promovarea calificărilor care presupun competenţe combinate.</w:t>
            </w:r>
          </w:p>
        </w:tc>
      </w:tr>
      <w:tr w:rsidR="00DB1DCC" w:rsidRPr="00DB1DCC" w:rsidTr="00F005DA">
        <w:tc>
          <w:tcPr>
            <w:tcW w:w="0" w:type="auto"/>
            <w:shd w:val="clear" w:color="auto" w:fill="auto"/>
          </w:tcPr>
          <w:p w:rsidR="00080C3B" w:rsidRPr="00DB1DCC" w:rsidRDefault="00080C3B" w:rsidP="0085751B">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lastRenderedPageBreak/>
              <w:t>2.</w:t>
            </w:r>
          </w:p>
        </w:tc>
        <w:tc>
          <w:tcPr>
            <w:tcW w:w="8974" w:type="dxa"/>
            <w:shd w:val="clear" w:color="auto" w:fill="auto"/>
          </w:tcPr>
          <w:p w:rsidR="00080C3B" w:rsidRPr="00543777" w:rsidRDefault="00080C3B" w:rsidP="0085751B">
            <w:pPr>
              <w:spacing w:after="0" w:line="240" w:lineRule="auto"/>
              <w:ind w:left="0"/>
              <w:rPr>
                <w:rFonts w:ascii="Arial Narrow" w:hAnsi="Arial Narrow"/>
                <w:b/>
                <w:bCs/>
                <w:color w:val="002060"/>
                <w:sz w:val="24"/>
                <w:szCs w:val="24"/>
                <w:u w:val="single"/>
              </w:rPr>
            </w:pPr>
            <w:r w:rsidRPr="00543777">
              <w:rPr>
                <w:rFonts w:ascii="Arial Narrow" w:hAnsi="Arial Narrow"/>
                <w:b/>
                <w:bCs/>
                <w:color w:val="002060"/>
                <w:sz w:val="24"/>
                <w:szCs w:val="24"/>
                <w:u w:val="single"/>
              </w:rPr>
              <w:t>Necesitatea și oportunitatea investiției pentru care se aplică</w:t>
            </w:r>
          </w:p>
          <w:p w:rsidR="00543777" w:rsidRPr="00543777" w:rsidRDefault="00543777" w:rsidP="00543777">
            <w:pPr>
              <w:keepNext/>
              <w:keepLines/>
              <w:suppressAutoHyphens/>
              <w:autoSpaceDN w:val="0"/>
              <w:spacing w:line="240" w:lineRule="auto"/>
              <w:ind w:left="0"/>
              <w:textAlignment w:val="baseline"/>
              <w:outlineLvl w:val="3"/>
              <w:rPr>
                <w:rFonts w:ascii="Arial Narrow" w:eastAsia="Times New Roman" w:hAnsi="Arial Narrow"/>
                <w:lang w:eastAsia="en-GB"/>
              </w:rPr>
            </w:pPr>
            <w:r w:rsidRPr="00543777">
              <w:rPr>
                <w:rFonts w:ascii="Arial Narrow" w:eastAsia="Times New Roman" w:hAnsi="Arial Narrow" w:cs="Calibri"/>
                <w:lang w:eastAsia="en-GB"/>
              </w:rPr>
              <w:t xml:space="preserve">Proiectul </w:t>
            </w:r>
            <w:r w:rsidRPr="00543777">
              <w:rPr>
                <w:rFonts w:ascii="Arial Narrow" w:eastAsia="Times New Roman" w:hAnsi="Arial Narrow" w:cs="Calibri"/>
                <w:b/>
                <w:bCs/>
                <w:i/>
                <w:iCs/>
                <w:lang w:eastAsia="en-GB"/>
              </w:rPr>
              <w:t>„Campus Regional Oltenia pentru Învăţământul Dual”</w:t>
            </w:r>
            <w:r w:rsidRPr="00543777">
              <w:rPr>
                <w:rFonts w:ascii="Arial Narrow" w:eastAsia="Times New Roman" w:hAnsi="Arial Narrow" w:cs="Calibri"/>
                <w:lang w:eastAsia="en-GB"/>
              </w:rPr>
              <w:t xml:space="preserve">a fost elaborat ținând cont de faptul că </w:t>
            </w:r>
            <w:r w:rsidRPr="00543777">
              <w:rPr>
                <w:rFonts w:ascii="Arial Narrow" w:eastAsia="Times New Roman" w:hAnsi="Arial Narrow"/>
                <w:lang w:eastAsia="en-GB"/>
              </w:rPr>
              <w:t>Mecanismul de redresare și reziliență are la bază obiectivul UE de a realiza o sustenabilitate și o coeziune competitivă contribuind la</w:t>
            </w:r>
            <w:r w:rsidRPr="00543777">
              <w:rPr>
                <w:rFonts w:ascii="Arial Narrow" w:eastAsia="Times New Roman" w:hAnsi="Arial Narrow"/>
                <w:i/>
                <w:iCs/>
                <w:lang w:eastAsia="en-GB"/>
              </w:rPr>
              <w:t xml:space="preserve"> remedierea situațiilor provocate de criză</w:t>
            </w:r>
            <w:r w:rsidRPr="00543777">
              <w:rPr>
                <w:rFonts w:ascii="Arial Narrow" w:eastAsia="Times New Roman" w:hAnsi="Arial Narrow"/>
                <w:lang w:eastAsia="en-GB"/>
              </w:rPr>
              <w:t xml:space="preserve">, la </w:t>
            </w:r>
            <w:r w:rsidRPr="00543777">
              <w:rPr>
                <w:rFonts w:ascii="Arial Narrow" w:eastAsia="Times New Roman" w:hAnsi="Arial Narrow"/>
                <w:i/>
                <w:iCs/>
                <w:lang w:eastAsia="en-GB"/>
              </w:rPr>
              <w:t>abordarea problemelor de mediu</w:t>
            </w:r>
            <w:r w:rsidRPr="00543777">
              <w:rPr>
                <w:rFonts w:ascii="Arial Narrow" w:eastAsia="Times New Roman" w:hAnsi="Arial Narrow"/>
                <w:lang w:eastAsia="en-GB"/>
              </w:rPr>
              <w:t xml:space="preserve">, plasând economia către o </w:t>
            </w:r>
            <w:r w:rsidRPr="00543777">
              <w:rPr>
                <w:rFonts w:ascii="Arial Narrow" w:eastAsia="Times New Roman" w:hAnsi="Arial Narrow"/>
                <w:i/>
                <w:iCs/>
                <w:lang w:eastAsia="en-GB"/>
              </w:rPr>
              <w:t>creștere durabilă</w:t>
            </w:r>
            <w:r w:rsidRPr="00543777">
              <w:rPr>
                <w:rFonts w:ascii="Arial Narrow" w:eastAsia="Times New Roman" w:hAnsi="Arial Narrow"/>
                <w:lang w:eastAsia="en-GB"/>
              </w:rPr>
              <w:t xml:space="preserve"> precum și la </w:t>
            </w:r>
            <w:r w:rsidRPr="00543777">
              <w:rPr>
                <w:rFonts w:ascii="Arial Narrow" w:eastAsia="Times New Roman" w:hAnsi="Arial Narrow"/>
                <w:i/>
                <w:iCs/>
                <w:lang w:eastAsia="en-GB"/>
              </w:rPr>
              <w:t>realizarea tranziției digitale</w:t>
            </w:r>
            <w:r w:rsidRPr="00543777">
              <w:rPr>
                <w:rFonts w:ascii="Arial Narrow" w:eastAsia="Times New Roman" w:hAnsi="Arial Narrow"/>
                <w:lang w:eastAsia="en-GB"/>
              </w:rPr>
              <w:t>, esențiale pentru consolidarea rezilienței sociale și economice a UE și a statelor membre, a potențialului lor de creștere durabilă și a creării de locuri de muncă.</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Arial Narrow" w:eastAsia="Times New Roman" w:hAnsi="Arial Narrow"/>
                <w:lang w:eastAsia="en-GB"/>
              </w:rPr>
              <w:t>În acest sens, acest proiect are în vedere</w:t>
            </w:r>
            <w:r w:rsidRPr="00543777">
              <w:rPr>
                <w:rFonts w:ascii="Arial Narrow" w:eastAsia="Calibri" w:hAnsi="Arial Narrow" w:cs="Calibri"/>
                <w:i/>
                <w:iCs/>
                <w:u w:val="single"/>
                <w:lang w:eastAsia="en-GB"/>
              </w:rPr>
              <w:t>necesitatea dezvoltării continue a parteneriatelor între operatorii economici și școli,</w:t>
            </w:r>
            <w:r w:rsidRPr="00543777">
              <w:rPr>
                <w:rFonts w:ascii="Arial Narrow" w:eastAsia="Calibri" w:hAnsi="Arial Narrow" w:cs="Calibri"/>
                <w:lang w:eastAsia="en-GB"/>
              </w:rPr>
              <w:t xml:space="preserve"> cu rezultat în cunoașterea reciprocă și reală a nevoilor ambelor părți, anticiparea nevoilor de calificare și adaptare a ofertei la nevoile pieței muncii, intensificarea acţiunilor de informare, orientare și consiliere a elevilor privind cariera, abordarea integrată a formării profesionale inițiale şi continue, din perspectiva învățării pe parcursul întregii vieți, îmbunătățirea calității și relevanței programelor de educație și formare profesională pentru piața muncii, anivelului de calificare a tinerilor.</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Arial Narrow" w:eastAsia="Calibri" w:hAnsi="Arial Narrow" w:cs="Calibri"/>
                <w:lang w:eastAsia="en-GB"/>
              </w:rPr>
              <w:t xml:space="preserve">În același timp, idea acestui proiect </w:t>
            </w:r>
            <w:r w:rsidRPr="00543777">
              <w:rPr>
                <w:rFonts w:ascii="Arial Narrow" w:eastAsia="Calibri" w:hAnsi="Arial Narrow" w:cs="Calibri"/>
                <w:i/>
                <w:iCs/>
                <w:u w:val="single"/>
                <w:lang w:eastAsia="en-GB"/>
              </w:rPr>
              <w:t>reflectă și susține tendințele de dezvoltare a sectoarelor economice la nivel local și regional</w:t>
            </w:r>
            <w:r w:rsidRPr="00543777">
              <w:rPr>
                <w:rFonts w:ascii="Arial Narrow" w:eastAsia="Calibri" w:hAnsi="Arial Narrow" w:cs="Calibri"/>
                <w:lang w:eastAsia="en-GB"/>
              </w:rPr>
              <w:t xml:space="preserve">, dar și calificările necesare ramurilor industriale cu potențial competitiv, cu accent pe </w:t>
            </w:r>
            <w:r w:rsidRPr="00543777">
              <w:rPr>
                <w:rFonts w:ascii="Arial Narrow" w:eastAsia="Calibri" w:hAnsi="Arial Narrow" w:cs="Calibri"/>
                <w:i/>
                <w:iCs/>
                <w:u w:val="single"/>
                <w:lang w:eastAsia="en-GB"/>
              </w:rPr>
              <w:t>creșterea nivelului de calificare și noile tehnologii</w:t>
            </w:r>
            <w:r w:rsidRPr="00543777">
              <w:rPr>
                <w:rFonts w:ascii="Arial Narrow" w:eastAsia="Calibri" w:hAnsi="Arial Narrow" w:cs="Calibri"/>
                <w:lang w:eastAsia="en-GB"/>
              </w:rPr>
              <w:t xml:space="preserve">. Adaptarea sistemului de educație și formare profesională în sprijinul unei mai bune corelări a ofertei educaționale cu cerințele angajatorilor trebuie să se concretizeze prin anticiparea nevoilor de calificare și adaptarea ofertei la nevoile pieței muncii, </w:t>
            </w:r>
            <w:r w:rsidRPr="00543777">
              <w:rPr>
                <w:rFonts w:ascii="Arial Narrow" w:eastAsia="Calibri" w:hAnsi="Arial Narrow" w:cs="Calibri"/>
                <w:i/>
                <w:iCs/>
                <w:u w:val="single"/>
                <w:lang w:eastAsia="en-GB"/>
              </w:rPr>
              <w:t>dezvoltarea și implementarea de programe de formare în sistem partenerial cu mediul de afaceri</w:t>
            </w:r>
            <w:r w:rsidRPr="00543777">
              <w:rPr>
                <w:rFonts w:ascii="Arial Narrow" w:eastAsia="Calibri" w:hAnsi="Arial Narrow" w:cs="Calibri"/>
                <w:lang w:eastAsia="en-GB"/>
              </w:rPr>
              <w:t xml:space="preserve"> corelat cu consolidarea parteneriatelor cu agenții economici, cu autorități și alte organizații care pot contribui la integrarea socio-profesională a absolvenților.</w:t>
            </w:r>
          </w:p>
          <w:p w:rsidR="00543777" w:rsidRPr="00543777" w:rsidRDefault="00543777" w:rsidP="00543777">
            <w:pPr>
              <w:suppressAutoHyphens/>
              <w:autoSpaceDN w:val="0"/>
              <w:spacing w:line="240" w:lineRule="auto"/>
              <w:ind w:left="0"/>
              <w:textAlignment w:val="baseline"/>
              <w:rPr>
                <w:rFonts w:ascii="Arial Narrow" w:eastAsia="Calibri" w:hAnsi="Arial Narrow" w:cs="Calibri"/>
                <w:i/>
                <w:iCs/>
                <w:u w:val="single"/>
                <w:lang w:eastAsia="en-GB"/>
              </w:rPr>
            </w:pPr>
            <w:r w:rsidRPr="00543777">
              <w:rPr>
                <w:rFonts w:ascii="Arial Narrow" w:eastAsia="Calibri" w:hAnsi="Arial Narrow" w:cs="Calibri"/>
                <w:i/>
                <w:iCs/>
                <w:u w:val="single"/>
                <w:lang w:eastAsia="en-GB"/>
              </w:rPr>
              <w:t>Este necesar ca aspectele cele mai importante privind educația și formarea profesională să fie abordate, atât din punct de vedere al resurselor umane implicate în proces, cât și din punct de vedere al infrastructurii de învățământ și de cercetare-dezvoltare.</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Arial Narrow" w:eastAsia="Calibri" w:hAnsi="Arial Narrow" w:cs="Calibri"/>
                <w:lang w:eastAsia="en-GB"/>
              </w:rPr>
              <w:t>Promovarea ofertei de formare a unităților de învățământ profesional și tehnic în rândul societății civile și dezvoltarea şi furnizarea de servicii de orientare în carieră pentru elevii de gimnaziu, va conduce la alegerea, de către tineri, a unui traseu profesional care să le ofere, la finalizarea lui, un loc de muncă în concordanță cu aspirațiile personale, corelate cu nevoile economice.</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Arial Narrow" w:eastAsia="Calibri" w:hAnsi="Arial Narrow" w:cs="Calibri"/>
                <w:lang w:eastAsia="en-GB"/>
              </w:rPr>
              <w:t xml:space="preserve">Învăţământul dual, prin obiectivele sale, este subsumat dublului rol al educaţiei: economic şi social. Prin urmare, acesta nu se poate rezuma, în sens restrâns, la satisfacerea cerințelor imediate ale unui loc de muncă, ci trebuie să asigure pregătirea pentru dezvoltarea unei cariere de succes, care presupune integrare socio – profesională, inclusiv în plan antreprenorial, și/sau continuarea studiilor. În aceste condiții trebuie să se asigure absolvenților șansa ocupării unui loc de muncă, văzută ca o etapă în procesul învățării pe </w:t>
            </w:r>
            <w:r w:rsidRPr="00543777">
              <w:rPr>
                <w:rFonts w:ascii="Arial Narrow" w:eastAsia="Calibri" w:hAnsi="Arial Narrow" w:cs="Calibri"/>
                <w:lang w:eastAsia="en-GB"/>
              </w:rPr>
              <w:lastRenderedPageBreak/>
              <w:t>parcursul întregii vieți, care include și învățarea la locul de muncă în vederea adaptării la cerințele acestuia.</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Arial Narrow" w:eastAsia="Calibri" w:hAnsi="Arial Narrow" w:cs="Calibri"/>
                <w:lang w:eastAsia="en-GB"/>
              </w:rPr>
              <w:t xml:space="preserve">Concluziile desprinse din analiza contextului economic, social, demografic conduc la </w:t>
            </w:r>
            <w:r w:rsidRPr="00543777">
              <w:rPr>
                <w:rFonts w:ascii="Arial Narrow" w:eastAsia="Calibri" w:hAnsi="Arial Narrow" w:cs="Calibri"/>
                <w:i/>
                <w:iCs/>
                <w:u w:val="single"/>
                <w:lang w:eastAsia="en-GB"/>
              </w:rPr>
              <w:t>necesitatea inițierii unor măsuri de optimizare a rețelei școlare, astfel încât să fie asigurat accesul la educație, în paralel cu optimizarea resurselor umane și materiale</w:t>
            </w:r>
            <w:r w:rsidRPr="00543777">
              <w:rPr>
                <w:rFonts w:ascii="Arial Narrow" w:eastAsia="Calibri" w:hAnsi="Arial Narrow" w:cs="Calibri"/>
                <w:i/>
                <w:iCs/>
                <w:lang w:eastAsia="en-GB"/>
              </w:rPr>
              <w:t xml:space="preserve">, </w:t>
            </w:r>
            <w:r w:rsidRPr="00543777">
              <w:rPr>
                <w:rFonts w:ascii="Arial Narrow" w:eastAsia="Calibri" w:hAnsi="Arial Narrow" w:cs="Calibri"/>
                <w:lang w:eastAsia="en-GB"/>
              </w:rPr>
              <w:t>aspecte la care proiectul propus contribuie prin activitățile ce se vor desfășura, atât pe parcursul perioadei de implementare cât și, ulterior, în perioada de sustenabilitate.</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Arial Narrow" w:eastAsia="Calibri" w:hAnsi="Arial Narrow" w:cs="Calibri"/>
                <w:lang w:eastAsia="en-GB"/>
              </w:rPr>
              <w:t xml:space="preserve">Educația şi statutul profesional sunt în strânsă legătură cu sărăcia relativă din punct de vedere al venitului, mai mult de o treime dintre persoanele care nu au reuşit să absolve decât cel mult nivelul de învăţământ gimnazial fiind expuse acestui risc. </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Arial Narrow" w:eastAsia="Calibri" w:hAnsi="Arial Narrow" w:cs="Calibri"/>
                <w:lang w:eastAsia="en-GB"/>
              </w:rPr>
              <w:t>În ceea ce privește romii, aceștia prezintă un risc mult mai mare de sărăcie, indiferent de vârstă, educaţie sau mediul de rezidență.</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Arial Narrow" w:eastAsia="Calibri" w:hAnsi="Arial Narrow" w:cs="Calibri"/>
                <w:lang w:eastAsia="en-GB"/>
              </w:rPr>
              <w:t xml:space="preserve">Ca urmare, din perspectiva incluziunii sociale, </w:t>
            </w:r>
            <w:r w:rsidRPr="00543777">
              <w:rPr>
                <w:rFonts w:ascii="Arial Narrow" w:eastAsia="Calibri" w:hAnsi="Arial Narrow" w:cs="Calibri"/>
                <w:i/>
                <w:iCs/>
                <w:u w:val="single"/>
                <w:lang w:eastAsia="en-GB"/>
              </w:rPr>
              <w:t>acest proiect răspunde necesității de a asigura accesul neîngrădit la educație</w:t>
            </w:r>
            <w:r w:rsidRPr="00543777">
              <w:rPr>
                <w:rFonts w:ascii="Arial Narrow" w:eastAsia="Calibri" w:hAnsi="Arial Narrow" w:cs="Calibri"/>
                <w:lang w:eastAsia="en-GB"/>
              </w:rPr>
              <w:t>, cu accent pe identificarea și includerea în grupul țintă a potențialilor beneficiari aparținând grupurilor vulnerabile, evitând orice discriminare bazată pe sex, origine etnică sau rasială, religie sau credință, dizabilitate, vârstă sau orientare sexuală.</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Arial Narrow" w:eastAsia="Calibri" w:hAnsi="Arial Narrow" w:cs="Calibri"/>
                <w:lang w:eastAsia="en-GB"/>
              </w:rPr>
              <w:t xml:space="preserve">Prin constituirea </w:t>
            </w:r>
            <w:r w:rsidRPr="00543777">
              <w:rPr>
                <w:rFonts w:ascii="Arial Narrow" w:eastAsia="Calibri" w:hAnsi="Arial Narrow" w:cs="Calibri"/>
                <w:i/>
                <w:iCs/>
                <w:u w:val="single"/>
                <w:lang w:eastAsia="en-GB"/>
              </w:rPr>
              <w:t>Consorţiului Regional Integrat pentru Invăţământ Dual Craiova</w:t>
            </w:r>
            <w:r w:rsidRPr="00543777">
              <w:rPr>
                <w:rFonts w:ascii="Arial Narrow" w:eastAsia="Calibri" w:hAnsi="Arial Narrow" w:cs="Calibri"/>
                <w:lang w:eastAsia="en-GB"/>
              </w:rPr>
              <w:t xml:space="preserve"> și construirea, dotarea și dezvoltarea unui campus regional pentru învățămant dual (</w:t>
            </w:r>
            <w:r w:rsidRPr="00543777">
              <w:rPr>
                <w:rFonts w:ascii="Arial Narrow" w:eastAsia="Calibri" w:hAnsi="Arial Narrow" w:cs="Calibri"/>
                <w:i/>
                <w:iCs/>
                <w:u w:val="single"/>
                <w:lang w:eastAsia="en-GB"/>
              </w:rPr>
              <w:t>Campus Regional Oltenia pentru Învăţământul Dual</w:t>
            </w:r>
            <w:r w:rsidRPr="00543777">
              <w:rPr>
                <w:rFonts w:ascii="Arial Narrow" w:eastAsia="Calibri" w:hAnsi="Arial Narrow" w:cs="Calibri"/>
                <w:lang w:eastAsia="en-GB"/>
              </w:rPr>
              <w:t>), proiectul propus va conduce la îndeplinirea obiectivelor priorității de investiție finanțate din PNRR, respectiv:</w:t>
            </w:r>
          </w:p>
          <w:p w:rsidR="00543777" w:rsidRPr="00543777" w:rsidRDefault="00543777" w:rsidP="00543777">
            <w:pPr>
              <w:suppressAutoHyphens/>
              <w:autoSpaceDN w:val="0"/>
              <w:spacing w:line="240" w:lineRule="auto"/>
              <w:ind w:left="0"/>
              <w:textAlignment w:val="baseline"/>
              <w:rPr>
                <w:rFonts w:ascii="Arial Narrow" w:eastAsia="Calibri" w:hAnsi="Arial Narrow" w:cs="Calibri"/>
                <w:lang w:eastAsia="en-GB"/>
              </w:rPr>
            </w:pPr>
            <w:r w:rsidRPr="00543777">
              <w:rPr>
                <w:rFonts w:ascii="Cambria Math" w:eastAsia="Calibri" w:hAnsi="Cambria Math" w:cs="Cambria Math"/>
                <w:lang w:eastAsia="en-GB"/>
              </w:rPr>
              <w:t>⇒</w:t>
            </w:r>
            <w:r w:rsidRPr="00543777">
              <w:rPr>
                <w:rFonts w:ascii="Arial Narrow" w:eastAsia="Calibri" w:hAnsi="Arial Narrow" w:cs="Calibri"/>
                <w:lang w:eastAsia="en-GB"/>
              </w:rPr>
              <w:t xml:space="preserve"> O1. Asigurarea accesului egal la educa</w:t>
            </w:r>
            <w:r w:rsidRPr="00543777">
              <w:rPr>
                <w:rFonts w:ascii="Arial Narrow" w:eastAsia="Calibri" w:hAnsi="Arial Narrow" w:cs="Arial Narrow"/>
                <w:lang w:eastAsia="en-GB"/>
              </w:rPr>
              <w:t>ț</w:t>
            </w:r>
            <w:r w:rsidRPr="00543777">
              <w:rPr>
                <w:rFonts w:ascii="Arial Narrow" w:eastAsia="Calibri" w:hAnsi="Arial Narrow" w:cs="Calibri"/>
                <w:lang w:eastAsia="en-GB"/>
              </w:rPr>
              <w:t xml:space="preserve">ie </w:t>
            </w:r>
            <w:r w:rsidRPr="00543777">
              <w:rPr>
                <w:rFonts w:ascii="Arial Narrow" w:eastAsia="Calibri" w:hAnsi="Arial Narrow" w:cs="Arial Narrow"/>
                <w:lang w:eastAsia="en-GB"/>
              </w:rPr>
              <w:t>ș</w:t>
            </w:r>
            <w:r w:rsidRPr="00543777">
              <w:rPr>
                <w:rFonts w:ascii="Arial Narrow" w:eastAsia="Calibri" w:hAnsi="Arial Narrow" w:cs="Calibri"/>
                <w:lang w:eastAsia="en-GB"/>
              </w:rPr>
              <w:t>i formare profesional</w:t>
            </w:r>
            <w:r w:rsidRPr="00543777">
              <w:rPr>
                <w:rFonts w:ascii="Arial Narrow" w:eastAsia="Calibri" w:hAnsi="Arial Narrow" w:cs="Arial Narrow"/>
                <w:lang w:eastAsia="en-GB"/>
              </w:rPr>
              <w:t>ă</w:t>
            </w:r>
            <w:r w:rsidRPr="00543777">
              <w:rPr>
                <w:rFonts w:ascii="Arial Narrow" w:eastAsia="Calibri" w:hAnsi="Arial Narrow" w:cs="Calibri"/>
                <w:lang w:eastAsia="en-GB"/>
              </w:rPr>
              <w:t xml:space="preserve"> ini</w:t>
            </w:r>
            <w:r w:rsidRPr="00543777">
              <w:rPr>
                <w:rFonts w:ascii="Arial Narrow" w:eastAsia="Calibri" w:hAnsi="Arial Narrow" w:cs="Arial Narrow"/>
                <w:lang w:eastAsia="en-GB"/>
              </w:rPr>
              <w:t>ț</w:t>
            </w:r>
            <w:r w:rsidRPr="00543777">
              <w:rPr>
                <w:rFonts w:ascii="Arial Narrow" w:eastAsia="Calibri" w:hAnsi="Arial Narrow" w:cs="Calibri"/>
                <w:lang w:eastAsia="en-GB"/>
              </w:rPr>
              <w:t>ial</w:t>
            </w:r>
            <w:r w:rsidRPr="00543777">
              <w:rPr>
                <w:rFonts w:ascii="Arial Narrow" w:eastAsia="Calibri" w:hAnsi="Arial Narrow" w:cs="Arial Narrow"/>
                <w:lang w:eastAsia="en-GB"/>
              </w:rPr>
              <w:t>ă</w:t>
            </w:r>
            <w:r w:rsidRPr="00543777">
              <w:rPr>
                <w:rFonts w:ascii="Arial Narrow" w:eastAsia="Calibri" w:hAnsi="Arial Narrow" w:cs="Calibri"/>
                <w:lang w:eastAsia="en-GB"/>
              </w:rPr>
              <w:t xml:space="preserve"> de calitate, cu accent pe identificarea </w:t>
            </w:r>
            <w:r w:rsidRPr="00543777">
              <w:rPr>
                <w:rFonts w:ascii="Arial Narrow" w:eastAsia="Calibri" w:hAnsi="Arial Narrow" w:cs="Arial Narrow"/>
                <w:lang w:eastAsia="en-GB"/>
              </w:rPr>
              <w:t>ș</w:t>
            </w:r>
            <w:r w:rsidRPr="00543777">
              <w:rPr>
                <w:rFonts w:ascii="Arial Narrow" w:eastAsia="Calibri" w:hAnsi="Arial Narrow" w:cs="Calibri"/>
                <w:lang w:eastAsia="en-GB"/>
              </w:rPr>
              <w:t>i incluziunea poten</w:t>
            </w:r>
            <w:r w:rsidRPr="00543777">
              <w:rPr>
                <w:rFonts w:ascii="Arial Narrow" w:eastAsia="Calibri" w:hAnsi="Arial Narrow" w:cs="Arial Narrow"/>
                <w:lang w:eastAsia="en-GB"/>
              </w:rPr>
              <w:t>ț</w:t>
            </w:r>
            <w:r w:rsidRPr="00543777">
              <w:rPr>
                <w:rFonts w:ascii="Arial Narrow" w:eastAsia="Calibri" w:hAnsi="Arial Narrow" w:cs="Calibri"/>
                <w:lang w:eastAsia="en-GB"/>
              </w:rPr>
              <w:t>ialilor beneficiari, în special a elevilor și studenților aparținând grupurilor vulnerabile/dezavantajate, prin dezvoltarea de parteneriate cu agenți economici sau alți parteneri relevanți, în vederea adaptării învățământului profesional tehnic la cerințele pieței muncii;</w:t>
            </w:r>
          </w:p>
          <w:p w:rsidR="00080C3B" w:rsidRPr="00D626F3" w:rsidRDefault="00543777" w:rsidP="00D626F3">
            <w:pPr>
              <w:suppressAutoHyphens/>
              <w:autoSpaceDN w:val="0"/>
              <w:spacing w:line="240" w:lineRule="auto"/>
              <w:ind w:left="0"/>
              <w:textAlignment w:val="baseline"/>
              <w:rPr>
                <w:rFonts w:ascii="Arial Narrow" w:eastAsia="Calibri" w:hAnsi="Arial Narrow" w:cs="Calibri"/>
                <w:lang w:eastAsia="en-GB"/>
              </w:rPr>
            </w:pPr>
            <w:r w:rsidRPr="00543777">
              <w:rPr>
                <w:rFonts w:ascii="Cambria Math" w:eastAsia="Calibri" w:hAnsi="Cambria Math" w:cs="Cambria Math"/>
                <w:lang w:eastAsia="en-GB"/>
              </w:rPr>
              <w:t>⇒</w:t>
            </w:r>
            <w:r w:rsidRPr="00543777">
              <w:rPr>
                <w:rFonts w:ascii="Arial Narrow" w:eastAsia="Calibri" w:hAnsi="Arial Narrow" w:cs="Calibri"/>
                <w:lang w:eastAsia="en-GB"/>
              </w:rPr>
              <w:t xml:space="preserve"> O2. Realizarea a minimum 10 structuri parteneriale care vor fi baza Consor</w:t>
            </w:r>
            <w:r w:rsidRPr="00543777">
              <w:rPr>
                <w:rFonts w:ascii="Arial Narrow" w:eastAsia="Calibri" w:hAnsi="Arial Narrow" w:cs="Arial Narrow"/>
                <w:lang w:eastAsia="en-GB"/>
              </w:rPr>
              <w:t>ț</w:t>
            </w:r>
            <w:r w:rsidRPr="00543777">
              <w:rPr>
                <w:rFonts w:ascii="Arial Narrow" w:eastAsia="Calibri" w:hAnsi="Arial Narrow" w:cs="Calibri"/>
                <w:lang w:eastAsia="en-GB"/>
              </w:rPr>
              <w:t>iilor (fiecare fiind alc</w:t>
            </w:r>
            <w:r w:rsidRPr="00543777">
              <w:rPr>
                <w:rFonts w:ascii="Arial Narrow" w:eastAsia="Calibri" w:hAnsi="Arial Narrow" w:cs="Arial Narrow"/>
                <w:lang w:eastAsia="en-GB"/>
              </w:rPr>
              <w:t>ă</w:t>
            </w:r>
            <w:r w:rsidRPr="00543777">
              <w:rPr>
                <w:rFonts w:ascii="Arial Narrow" w:eastAsia="Calibri" w:hAnsi="Arial Narrow" w:cs="Calibri"/>
                <w:lang w:eastAsia="en-GB"/>
              </w:rPr>
              <w:t>tuit</w:t>
            </w:r>
            <w:r w:rsidRPr="00543777">
              <w:rPr>
                <w:rFonts w:ascii="Arial Narrow" w:eastAsia="Calibri" w:hAnsi="Arial Narrow" w:cs="Arial Narrow"/>
                <w:lang w:eastAsia="en-GB"/>
              </w:rPr>
              <w:t>ă</w:t>
            </w:r>
            <w:r w:rsidRPr="00543777">
              <w:rPr>
                <w:rFonts w:ascii="Arial Narrow" w:eastAsia="Calibri" w:hAnsi="Arial Narrow" w:cs="Calibri"/>
                <w:lang w:eastAsia="en-GB"/>
              </w:rPr>
              <w:t xml:space="preserve"> cel pu</w:t>
            </w:r>
            <w:r w:rsidRPr="00543777">
              <w:rPr>
                <w:rFonts w:ascii="Arial Narrow" w:eastAsia="Calibri" w:hAnsi="Arial Narrow" w:cs="Arial Narrow"/>
                <w:lang w:eastAsia="en-GB"/>
              </w:rPr>
              <w:t>ț</w:t>
            </w:r>
            <w:r w:rsidRPr="00543777">
              <w:rPr>
                <w:rFonts w:ascii="Arial Narrow" w:eastAsia="Calibri" w:hAnsi="Arial Narrow" w:cs="Calibri"/>
                <w:lang w:eastAsia="en-GB"/>
              </w:rPr>
              <w:t>in din urm</w:t>
            </w:r>
            <w:r w:rsidRPr="00543777">
              <w:rPr>
                <w:rFonts w:ascii="Arial Narrow" w:eastAsia="Calibri" w:hAnsi="Arial Narrow" w:cs="Arial Narrow"/>
                <w:lang w:eastAsia="en-GB"/>
              </w:rPr>
              <w:t>ă</w:t>
            </w:r>
            <w:r w:rsidRPr="00543777">
              <w:rPr>
                <w:rFonts w:ascii="Arial Narrow" w:eastAsia="Calibri" w:hAnsi="Arial Narrow" w:cs="Calibri"/>
                <w:lang w:eastAsia="en-GB"/>
              </w:rPr>
              <w:t>toarele tipuri de entit</w:t>
            </w:r>
            <w:r w:rsidRPr="00543777">
              <w:rPr>
                <w:rFonts w:ascii="Arial Narrow" w:eastAsia="Calibri" w:hAnsi="Arial Narrow" w:cs="Arial Narrow"/>
                <w:lang w:eastAsia="en-GB"/>
              </w:rPr>
              <w:t>ăț</w:t>
            </w:r>
            <w:r w:rsidRPr="00543777">
              <w:rPr>
                <w:rFonts w:ascii="Arial Narrow" w:eastAsia="Calibri" w:hAnsi="Arial Narrow" w:cs="Calibri"/>
                <w:lang w:eastAsia="en-GB"/>
              </w:rPr>
              <w:t>i: UAT-uri, operatori economici, unit</w:t>
            </w:r>
            <w:r w:rsidRPr="00543777">
              <w:rPr>
                <w:rFonts w:ascii="Arial Narrow" w:eastAsia="Calibri" w:hAnsi="Arial Narrow" w:cs="Arial Narrow"/>
                <w:lang w:eastAsia="en-GB"/>
              </w:rPr>
              <w:t>ăț</w:t>
            </w:r>
            <w:r w:rsidRPr="00543777">
              <w:rPr>
                <w:rFonts w:ascii="Arial Narrow" w:eastAsia="Calibri" w:hAnsi="Arial Narrow" w:cs="Calibri"/>
                <w:lang w:eastAsia="en-GB"/>
              </w:rPr>
              <w:t xml:space="preserve">i de </w:t>
            </w:r>
            <w:r w:rsidRPr="00543777">
              <w:rPr>
                <w:rFonts w:ascii="Arial Narrow" w:eastAsia="Calibri" w:hAnsi="Arial Narrow" w:cs="Arial Narrow"/>
                <w:lang w:eastAsia="en-GB"/>
              </w:rPr>
              <w:t>î</w:t>
            </w:r>
            <w:r w:rsidRPr="00543777">
              <w:rPr>
                <w:rFonts w:ascii="Arial Narrow" w:eastAsia="Calibri" w:hAnsi="Arial Narrow" w:cs="Calibri"/>
                <w:lang w:eastAsia="en-GB"/>
              </w:rPr>
              <w:t>nv</w:t>
            </w:r>
            <w:r w:rsidRPr="00543777">
              <w:rPr>
                <w:rFonts w:ascii="Arial Narrow" w:eastAsia="Calibri" w:hAnsi="Arial Narrow" w:cs="Arial Narrow"/>
                <w:lang w:eastAsia="en-GB"/>
              </w:rPr>
              <w:t>ăță</w:t>
            </w:r>
            <w:r w:rsidRPr="00543777">
              <w:rPr>
                <w:rFonts w:ascii="Arial Narrow" w:eastAsia="Calibri" w:hAnsi="Arial Narrow" w:cs="Calibri"/>
                <w:lang w:eastAsia="en-GB"/>
              </w:rPr>
              <w:t>m</w:t>
            </w:r>
            <w:r w:rsidRPr="00543777">
              <w:rPr>
                <w:rFonts w:ascii="Arial Narrow" w:eastAsia="Calibri" w:hAnsi="Arial Narrow" w:cs="Arial Narrow"/>
                <w:lang w:eastAsia="en-GB"/>
              </w:rPr>
              <w:t>â</w:t>
            </w:r>
            <w:r w:rsidRPr="00543777">
              <w:rPr>
                <w:rFonts w:ascii="Arial Narrow" w:eastAsia="Calibri" w:hAnsi="Arial Narrow" w:cs="Calibri"/>
                <w:lang w:eastAsia="en-GB"/>
              </w:rPr>
              <w:t xml:space="preserve">nt profesional </w:t>
            </w:r>
            <w:r w:rsidRPr="00543777">
              <w:rPr>
                <w:rFonts w:ascii="Arial Narrow" w:eastAsia="Calibri" w:hAnsi="Arial Narrow" w:cs="Arial Narrow"/>
                <w:lang w:eastAsia="en-GB"/>
              </w:rPr>
              <w:t>ș</w:t>
            </w:r>
            <w:r w:rsidRPr="00543777">
              <w:rPr>
                <w:rFonts w:ascii="Arial Narrow" w:eastAsia="Calibri" w:hAnsi="Arial Narrow" w:cs="Calibri"/>
                <w:lang w:eastAsia="en-GB"/>
              </w:rPr>
              <w:t>i tehnic, inclusiv dual de stat, instituțiile de învățământ superior de stat acreditate, alți parteneri relevanți pentru scopul educațional al centrului) pentru sprijinirea angajatorilor de a deține rolul activ în domeniul pregătirii profesionale a elevilor și studenților, precum și dezvoltarea și dotarea a minimum 10 campusuri profesionale integrate, liceale și universitare, care să deservească învățământul dual preuniversitar și universitar.</w:t>
            </w:r>
          </w:p>
        </w:tc>
      </w:tr>
      <w:tr w:rsidR="00DB1DCC" w:rsidRPr="00DB1DCC" w:rsidTr="00F005DA">
        <w:tc>
          <w:tcPr>
            <w:tcW w:w="0" w:type="auto"/>
            <w:shd w:val="clear" w:color="auto" w:fill="auto"/>
          </w:tcPr>
          <w:p w:rsidR="00080C3B" w:rsidRPr="00DB1DCC" w:rsidRDefault="00080C3B" w:rsidP="0085751B">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lastRenderedPageBreak/>
              <w:t>3.</w:t>
            </w:r>
          </w:p>
        </w:tc>
        <w:tc>
          <w:tcPr>
            <w:tcW w:w="8974" w:type="dxa"/>
            <w:shd w:val="clear" w:color="auto" w:fill="auto"/>
          </w:tcPr>
          <w:p w:rsidR="00080C3B" w:rsidRPr="0080388E" w:rsidRDefault="00080C3B" w:rsidP="0085751B">
            <w:pPr>
              <w:spacing w:after="0" w:line="240" w:lineRule="auto"/>
              <w:ind w:left="0"/>
              <w:rPr>
                <w:rFonts w:ascii="Arial Narrow" w:hAnsi="Arial Narrow"/>
                <w:b/>
                <w:bCs/>
                <w:color w:val="002060"/>
                <w:sz w:val="24"/>
                <w:szCs w:val="24"/>
                <w:u w:val="single"/>
              </w:rPr>
            </w:pPr>
            <w:r w:rsidRPr="0080388E">
              <w:rPr>
                <w:rFonts w:ascii="Arial Narrow" w:hAnsi="Arial Narrow"/>
                <w:b/>
                <w:bCs/>
                <w:color w:val="002060"/>
                <w:sz w:val="24"/>
                <w:szCs w:val="24"/>
                <w:u w:val="single"/>
              </w:rPr>
              <w:t>Corelarea cu proiecte deja implementate la nivel local</w:t>
            </w:r>
          </w:p>
          <w:p w:rsidR="007A7CDC" w:rsidRDefault="007A7CDC" w:rsidP="0085751B">
            <w:pPr>
              <w:spacing w:after="0" w:line="240" w:lineRule="auto"/>
              <w:ind w:left="0"/>
              <w:rPr>
                <w:rFonts w:ascii="Arial Narrow" w:hAnsi="Arial Narrow"/>
              </w:rPr>
            </w:pPr>
          </w:p>
          <w:p w:rsidR="0080388E" w:rsidRDefault="0080388E" w:rsidP="0085751B">
            <w:pPr>
              <w:spacing w:after="0" w:line="240" w:lineRule="auto"/>
              <w:ind w:left="0"/>
              <w:rPr>
                <w:rFonts w:ascii="Arial Narrow" w:hAnsi="Arial Narrow"/>
              </w:rPr>
            </w:pPr>
            <w:r w:rsidRPr="0080388E">
              <w:rPr>
                <w:rFonts w:ascii="Arial Narrow" w:hAnsi="Arial Narrow"/>
              </w:rPr>
              <w:t>Proiectul ”Campus Regional Oltenia pentru Învăţământul Dual” se corelează cu</w:t>
            </w:r>
            <w:r w:rsidR="004C2647">
              <w:rPr>
                <w:rFonts w:ascii="Arial Narrow" w:hAnsi="Arial Narrow"/>
              </w:rPr>
              <w:t>mai multe</w:t>
            </w:r>
            <w:r>
              <w:rPr>
                <w:rFonts w:ascii="Arial Narrow" w:hAnsi="Arial Narrow"/>
              </w:rPr>
              <w:t xml:space="preserve"> proiecte implementate la nivel local</w:t>
            </w:r>
            <w:r w:rsidR="004C2647">
              <w:rPr>
                <w:rFonts w:ascii="Arial Narrow" w:hAnsi="Arial Narrow"/>
              </w:rPr>
              <w:t xml:space="preserve"> din care enumerăm:</w:t>
            </w:r>
          </w:p>
          <w:p w:rsidR="0080388E" w:rsidRDefault="0080388E" w:rsidP="0085751B">
            <w:pPr>
              <w:spacing w:after="0" w:line="240" w:lineRule="auto"/>
              <w:ind w:left="0"/>
              <w:rPr>
                <w:rFonts w:ascii="Arial Narrow" w:hAnsi="Arial Narrow"/>
              </w:rPr>
            </w:pPr>
          </w:p>
          <w:p w:rsidR="0080388E" w:rsidRPr="00D27DC5" w:rsidRDefault="00D27DC5" w:rsidP="0080388E">
            <w:pPr>
              <w:pStyle w:val="ListParagraph"/>
              <w:numPr>
                <w:ilvl w:val="0"/>
                <w:numId w:val="41"/>
              </w:numPr>
              <w:spacing w:after="0" w:line="240" w:lineRule="auto"/>
              <w:rPr>
                <w:rFonts w:ascii="Arial Narrow" w:hAnsi="Arial Narrow"/>
                <w:b/>
                <w:bCs/>
                <w:i/>
                <w:iCs/>
                <w:u w:val="single"/>
              </w:rPr>
            </w:pPr>
            <w:r w:rsidRPr="00D27DC5">
              <w:rPr>
                <w:rFonts w:ascii="Arial Narrow" w:hAnsi="Arial Narrow"/>
                <w:b/>
                <w:bCs/>
                <w:i/>
                <w:iCs/>
                <w:u w:val="single"/>
              </w:rPr>
              <w:t>Liceul Tehnologic de Transporturi Auto Craiova</w:t>
            </w:r>
          </w:p>
          <w:p w:rsidR="00080C3B" w:rsidRPr="0080388E" w:rsidRDefault="0080388E" w:rsidP="0085751B">
            <w:pPr>
              <w:spacing w:after="0" w:line="240" w:lineRule="auto"/>
              <w:ind w:left="0"/>
              <w:rPr>
                <w:rFonts w:ascii="Arial Narrow" w:hAnsi="Arial Narrow"/>
              </w:rPr>
            </w:pPr>
            <w:r w:rsidRPr="0080388E">
              <w:rPr>
                <w:rFonts w:ascii="Arial Narrow" w:hAnsi="Arial Narrow"/>
                <w:b/>
                <w:bCs/>
                <w:i/>
                <w:iCs/>
                <w:u w:val="single"/>
              </w:rPr>
              <w:t xml:space="preserve">Creșterea participării la programe de învățare la locul de muncă a elevilor LTTA Craiova </w:t>
            </w:r>
            <w:r w:rsidRPr="00AE0F37">
              <w:rPr>
                <w:rFonts w:ascii="Arial Narrow" w:hAnsi="Arial Narrow"/>
              </w:rPr>
              <w:t>(POCU)</w:t>
            </w:r>
            <w:r w:rsidR="00AE0F37">
              <w:rPr>
                <w:rFonts w:ascii="Arial Narrow" w:hAnsi="Arial Narrow"/>
              </w:rPr>
              <w:t>, în perioadao</w:t>
            </w:r>
            <w:r w:rsidRPr="0080388E">
              <w:rPr>
                <w:rFonts w:ascii="Arial Narrow" w:hAnsi="Arial Narrow"/>
              </w:rPr>
              <w:t xml:space="preserve">ctombrie 2020 – </w:t>
            </w:r>
            <w:r w:rsidR="00AE0F37">
              <w:rPr>
                <w:rFonts w:ascii="Arial Narrow" w:hAnsi="Arial Narrow"/>
              </w:rPr>
              <w:t>d</w:t>
            </w:r>
            <w:r w:rsidRPr="0080388E">
              <w:rPr>
                <w:rFonts w:ascii="Arial Narrow" w:hAnsi="Arial Narrow"/>
              </w:rPr>
              <w:t>ecembrie 2022, av</w:t>
            </w:r>
            <w:r>
              <w:rPr>
                <w:rFonts w:ascii="Arial Narrow" w:hAnsi="Arial Narrow"/>
              </w:rPr>
              <w:t>â</w:t>
            </w:r>
            <w:r w:rsidRPr="0080388E">
              <w:rPr>
                <w:rFonts w:ascii="Arial Narrow" w:hAnsi="Arial Narrow"/>
              </w:rPr>
              <w:t>nd urm</w:t>
            </w:r>
            <w:r>
              <w:rPr>
                <w:rFonts w:ascii="Arial Narrow" w:hAnsi="Arial Narrow"/>
              </w:rPr>
              <w:t>ă</w:t>
            </w:r>
            <w:r w:rsidRPr="0080388E">
              <w:rPr>
                <w:rFonts w:ascii="Arial Narrow" w:hAnsi="Arial Narrow"/>
              </w:rPr>
              <w:t>toarele obiective:</w:t>
            </w:r>
          </w:p>
          <w:p w:rsidR="0080388E" w:rsidRPr="004C2647" w:rsidRDefault="0080388E" w:rsidP="004C2647">
            <w:pPr>
              <w:pStyle w:val="ListParagraph"/>
              <w:numPr>
                <w:ilvl w:val="0"/>
                <w:numId w:val="45"/>
              </w:numPr>
              <w:spacing w:after="0" w:line="240" w:lineRule="auto"/>
              <w:rPr>
                <w:rFonts w:ascii="Arial Narrow" w:hAnsi="Arial Narrow"/>
              </w:rPr>
            </w:pPr>
            <w:r w:rsidRPr="004C2647">
              <w:rPr>
                <w:rFonts w:ascii="Arial Narrow" w:hAnsi="Arial Narrow"/>
              </w:rPr>
              <w:t>Dezvoltarea până la finalul proiectului a competențelor profesionale pentru 182 de elevi ai Liceului Tehnologic Auto din Craiova -prin derularea stagiilor de practica a acestora la agenți economici preponderent din industria auto si componente, cu coduri CAEN aferente direcțiilor de politica industriala menționate în Strategia Naționala pentru Competitivitate 2014-2020.</w:t>
            </w:r>
          </w:p>
          <w:p w:rsidR="0080388E" w:rsidRPr="004C2647" w:rsidRDefault="0080388E" w:rsidP="004C2647">
            <w:pPr>
              <w:pStyle w:val="ListParagraph"/>
              <w:numPr>
                <w:ilvl w:val="0"/>
                <w:numId w:val="45"/>
              </w:numPr>
              <w:spacing w:after="0" w:line="240" w:lineRule="auto"/>
              <w:rPr>
                <w:rFonts w:ascii="Arial Narrow" w:hAnsi="Arial Narrow"/>
              </w:rPr>
            </w:pPr>
            <w:r w:rsidRPr="004C2647">
              <w:rPr>
                <w:rFonts w:ascii="Arial Narrow" w:hAnsi="Arial Narrow"/>
              </w:rPr>
              <w:t>Plasarea pe piața muncii a minim 40 de absolvenți certificați care au participat la stagiile de practica la locul de munca organizate în cadrul proiectului.</w:t>
            </w:r>
          </w:p>
          <w:p w:rsidR="0080388E" w:rsidRPr="004C2647" w:rsidRDefault="0080388E" w:rsidP="004C2647">
            <w:pPr>
              <w:pStyle w:val="ListParagraph"/>
              <w:numPr>
                <w:ilvl w:val="0"/>
                <w:numId w:val="45"/>
              </w:numPr>
              <w:spacing w:after="0" w:line="240" w:lineRule="auto"/>
              <w:rPr>
                <w:rFonts w:ascii="Arial Narrow" w:hAnsi="Arial Narrow"/>
              </w:rPr>
            </w:pPr>
            <w:r w:rsidRPr="004C2647">
              <w:rPr>
                <w:rFonts w:ascii="Arial Narrow" w:hAnsi="Arial Narrow"/>
              </w:rPr>
              <w:t>Dezvoltarea competențelor antreprenoriale a 50 de elevi participanți la stagiile de practica la locul de munca în cadrul a 5 firme de exercițiu pâna la sfârsitul proiectului.</w:t>
            </w:r>
          </w:p>
          <w:p w:rsidR="004C2647" w:rsidRPr="004C2647" w:rsidRDefault="004C2647" w:rsidP="004C2647">
            <w:pPr>
              <w:spacing w:after="0" w:line="240" w:lineRule="auto"/>
              <w:ind w:left="0"/>
              <w:rPr>
                <w:rFonts w:ascii="Arial Narrow" w:hAnsi="Arial Narrow"/>
              </w:rPr>
            </w:pPr>
            <w:r w:rsidRPr="004C2647">
              <w:rPr>
                <w:rFonts w:ascii="Arial Narrow" w:hAnsi="Arial Narrow"/>
                <w:b/>
                <w:bCs/>
                <w:i/>
                <w:iCs/>
                <w:u w:val="single"/>
              </w:rPr>
              <w:t>Proiect ERASMUS+(2019-1-RO01-KA116-0622871),</w:t>
            </w:r>
            <w:r w:rsidRPr="004C2647">
              <w:rPr>
                <w:rFonts w:ascii="Arial Narrow" w:hAnsi="Arial Narrow"/>
              </w:rPr>
              <w:t xml:space="preserve"> în perioada 01.09.2019-31.08.2021, având ca obiective:</w:t>
            </w:r>
          </w:p>
          <w:p w:rsidR="004C2647" w:rsidRPr="004C2647" w:rsidRDefault="004C2647" w:rsidP="004C2647">
            <w:pPr>
              <w:pStyle w:val="ListParagraph"/>
              <w:numPr>
                <w:ilvl w:val="0"/>
                <w:numId w:val="44"/>
              </w:numPr>
              <w:spacing w:after="0" w:line="240" w:lineRule="auto"/>
              <w:rPr>
                <w:rFonts w:ascii="Arial Narrow" w:hAnsi="Arial Narrow"/>
              </w:rPr>
            </w:pPr>
            <w:r w:rsidRPr="004C2647">
              <w:rPr>
                <w:rFonts w:ascii="Arial Narrow" w:hAnsi="Arial Narrow"/>
              </w:rPr>
              <w:t>Creșterea calității derulării stagiilor de pregătire practică prin organizarea de mobilități de formare de un înalt nivel calitativ pentru tinerii aflați în formare profesională inițială</w:t>
            </w:r>
          </w:p>
          <w:p w:rsidR="004C2647" w:rsidRPr="004C2647" w:rsidRDefault="004C2647" w:rsidP="004C2647">
            <w:pPr>
              <w:pStyle w:val="ListParagraph"/>
              <w:numPr>
                <w:ilvl w:val="0"/>
                <w:numId w:val="44"/>
              </w:numPr>
              <w:spacing w:after="0" w:line="240" w:lineRule="auto"/>
              <w:rPr>
                <w:rFonts w:ascii="Arial Narrow" w:hAnsi="Arial Narrow"/>
              </w:rPr>
            </w:pPr>
            <w:r w:rsidRPr="004C2647">
              <w:rPr>
                <w:rFonts w:ascii="Arial Narrow" w:hAnsi="Arial Narrow"/>
              </w:rPr>
              <w:t>Întărirea cooperării cu instituții din domeniul educației și agenți economici din Europa</w:t>
            </w:r>
          </w:p>
          <w:p w:rsidR="002232A2" w:rsidRPr="00884BC8" w:rsidRDefault="004C2647" w:rsidP="004C2647">
            <w:pPr>
              <w:pStyle w:val="ListParagraph"/>
              <w:numPr>
                <w:ilvl w:val="0"/>
                <w:numId w:val="44"/>
              </w:numPr>
              <w:spacing w:after="0" w:line="240" w:lineRule="auto"/>
              <w:rPr>
                <w:rFonts w:ascii="Arial Narrow" w:hAnsi="Arial Narrow"/>
                <w:color w:val="002060"/>
                <w:sz w:val="24"/>
                <w:szCs w:val="24"/>
              </w:rPr>
            </w:pPr>
            <w:r w:rsidRPr="004C2647">
              <w:rPr>
                <w:rFonts w:ascii="Arial Narrow" w:hAnsi="Arial Narrow"/>
              </w:rPr>
              <w:t>Crearea de rețele europene de colaborare în domeniul VET</w:t>
            </w:r>
          </w:p>
          <w:p w:rsidR="00884BC8" w:rsidRPr="007A7CDC" w:rsidRDefault="00884BC8" w:rsidP="00884BC8">
            <w:pPr>
              <w:spacing w:after="0" w:line="240" w:lineRule="auto"/>
              <w:ind w:left="0"/>
              <w:rPr>
                <w:rFonts w:ascii="Arial Narrow" w:hAnsi="Arial Narrow"/>
              </w:rPr>
            </w:pPr>
            <w:r w:rsidRPr="007A7CDC">
              <w:rPr>
                <w:rFonts w:ascii="Arial Narrow" w:hAnsi="Arial Narrow"/>
                <w:b/>
                <w:bCs/>
                <w:i/>
                <w:iCs/>
                <w:u w:val="single"/>
              </w:rPr>
              <w:t>Proiect ERASMUS+(2020-1-RO01-KA116-078511),</w:t>
            </w:r>
            <w:r w:rsidRPr="007A7CDC">
              <w:rPr>
                <w:rFonts w:ascii="Arial Narrow" w:hAnsi="Arial Narrow"/>
              </w:rPr>
              <w:t xml:space="preserve"> în perioada 01.09.2020-31.12.2021</w:t>
            </w:r>
            <w:r w:rsidR="00BD085A" w:rsidRPr="007A7CDC">
              <w:rPr>
                <w:rFonts w:ascii="Arial Narrow" w:hAnsi="Arial Narrow"/>
              </w:rPr>
              <w:t>, având ca obiective:</w:t>
            </w:r>
          </w:p>
          <w:p w:rsidR="00BD085A" w:rsidRPr="007A7CDC" w:rsidRDefault="00BD085A" w:rsidP="00BD085A">
            <w:pPr>
              <w:pStyle w:val="ListParagraph"/>
              <w:numPr>
                <w:ilvl w:val="0"/>
                <w:numId w:val="46"/>
              </w:numPr>
              <w:spacing w:after="0" w:line="240" w:lineRule="auto"/>
              <w:rPr>
                <w:rFonts w:ascii="Arial Narrow" w:hAnsi="Arial Narrow"/>
              </w:rPr>
            </w:pPr>
            <w:r w:rsidRPr="007A7CDC">
              <w:rPr>
                <w:rFonts w:ascii="Arial Narrow" w:hAnsi="Arial Narrow"/>
              </w:rPr>
              <w:t>Creșterea calității derulării stagiilor de pregătire practică prin organizarea de mobilități de formare de un înalt nivel calitativ pentru tinerii aflați în formare profesională inițială</w:t>
            </w:r>
          </w:p>
          <w:p w:rsidR="00BD085A" w:rsidRPr="007A7CDC" w:rsidRDefault="00BD085A" w:rsidP="00BD085A">
            <w:pPr>
              <w:pStyle w:val="ListParagraph"/>
              <w:numPr>
                <w:ilvl w:val="0"/>
                <w:numId w:val="46"/>
              </w:numPr>
              <w:spacing w:after="0" w:line="240" w:lineRule="auto"/>
              <w:rPr>
                <w:rFonts w:ascii="Arial Narrow" w:hAnsi="Arial Narrow"/>
              </w:rPr>
            </w:pPr>
            <w:r w:rsidRPr="007A7CDC">
              <w:rPr>
                <w:rFonts w:ascii="Arial Narrow" w:hAnsi="Arial Narrow"/>
              </w:rPr>
              <w:lastRenderedPageBreak/>
              <w:t>Intărirea cooperarii cu instituții din domeniul educației și agenți economici din Europa</w:t>
            </w:r>
          </w:p>
          <w:p w:rsidR="00BD085A" w:rsidRPr="007A7CDC" w:rsidRDefault="00BD085A" w:rsidP="00BD085A">
            <w:pPr>
              <w:pStyle w:val="ListParagraph"/>
              <w:numPr>
                <w:ilvl w:val="0"/>
                <w:numId w:val="46"/>
              </w:numPr>
              <w:spacing w:after="0" w:line="240" w:lineRule="auto"/>
              <w:rPr>
                <w:rFonts w:ascii="Arial Narrow" w:hAnsi="Arial Narrow"/>
                <w:sz w:val="24"/>
                <w:szCs w:val="24"/>
              </w:rPr>
            </w:pPr>
            <w:r w:rsidRPr="007A7CDC">
              <w:rPr>
                <w:rFonts w:ascii="Arial Narrow" w:hAnsi="Arial Narrow"/>
              </w:rPr>
              <w:t>Crearea de rețele europene de colaborare în domeniul VET</w:t>
            </w:r>
          </w:p>
          <w:p w:rsidR="008D2CD4" w:rsidRPr="007A7CDC" w:rsidRDefault="007A7CDC" w:rsidP="007A7CDC">
            <w:pPr>
              <w:spacing w:after="0" w:line="240" w:lineRule="auto"/>
              <w:ind w:left="0"/>
              <w:rPr>
                <w:rFonts w:ascii="Arial Narrow" w:hAnsi="Arial Narrow"/>
              </w:rPr>
            </w:pPr>
            <w:r w:rsidRPr="007A7CDC">
              <w:rPr>
                <w:rFonts w:ascii="Arial Narrow" w:hAnsi="Arial Narrow"/>
                <w:b/>
                <w:bCs/>
                <w:i/>
                <w:iCs/>
                <w:u w:val="single"/>
              </w:rPr>
              <w:t>Proiect ERASMUS +(2021-1-RO01-KA121-VET-000011688),</w:t>
            </w:r>
            <w:r w:rsidRPr="007A7CDC">
              <w:rPr>
                <w:rFonts w:ascii="Arial Narrow" w:hAnsi="Arial Narrow"/>
              </w:rPr>
              <w:t xml:space="preserve"> în perioada 01.09.2021-30.11.2022, având ca obiective:</w:t>
            </w:r>
          </w:p>
          <w:p w:rsidR="007A7CDC" w:rsidRPr="007A7CDC" w:rsidRDefault="007A7CDC" w:rsidP="007A7CDC">
            <w:pPr>
              <w:pStyle w:val="ListParagraph"/>
              <w:numPr>
                <w:ilvl w:val="0"/>
                <w:numId w:val="48"/>
              </w:numPr>
              <w:spacing w:after="0" w:line="240" w:lineRule="auto"/>
              <w:rPr>
                <w:rFonts w:ascii="Arial Narrow" w:hAnsi="Arial Narrow"/>
              </w:rPr>
            </w:pPr>
            <w:r w:rsidRPr="007A7CDC">
              <w:rPr>
                <w:rFonts w:ascii="Arial Narrow" w:hAnsi="Arial Narrow"/>
              </w:rPr>
              <w:t>Creșterea calității stagiilor de pregătire practică prin organizarea de mobilități de formare de un înalt nivel calitativ pentru tinerii aflați în formare profesională inițială în cadrul instituției candidat</w:t>
            </w:r>
          </w:p>
          <w:p w:rsidR="007A7CDC" w:rsidRPr="007A7CDC" w:rsidRDefault="007A7CDC" w:rsidP="007A7CDC">
            <w:pPr>
              <w:pStyle w:val="ListParagraph"/>
              <w:numPr>
                <w:ilvl w:val="0"/>
                <w:numId w:val="48"/>
              </w:numPr>
              <w:spacing w:after="0" w:line="240" w:lineRule="auto"/>
              <w:rPr>
                <w:rFonts w:ascii="Arial Narrow" w:hAnsi="Arial Narrow"/>
              </w:rPr>
            </w:pPr>
            <w:r w:rsidRPr="007A7CDC">
              <w:rPr>
                <w:rFonts w:ascii="Arial Narrow" w:hAnsi="Arial Narrow"/>
              </w:rPr>
              <w:t>Creșterea inserției pe piața muncii a absolvenților de învățământ liceal și profesional ca urmare a dezvoltării competențelor profesionale, personale și lingvistice ale acestora prin participarea la stagii internaționale.</w:t>
            </w:r>
          </w:p>
          <w:p w:rsidR="007A7CDC" w:rsidRDefault="007A7CDC" w:rsidP="007A7CDC">
            <w:pPr>
              <w:pStyle w:val="ListParagraph"/>
              <w:numPr>
                <w:ilvl w:val="0"/>
                <w:numId w:val="48"/>
              </w:numPr>
              <w:spacing w:after="0" w:line="240" w:lineRule="auto"/>
              <w:rPr>
                <w:rFonts w:ascii="Arial Narrow" w:hAnsi="Arial Narrow"/>
              </w:rPr>
            </w:pPr>
            <w:r w:rsidRPr="007A7CDC">
              <w:rPr>
                <w:rFonts w:ascii="Arial Narrow" w:hAnsi="Arial Narrow"/>
              </w:rPr>
              <w:t>Dezvoltarea rețelelor profesionale cu instituții din domeniul educației și agenți economici din UE în vederea creșterii schimbului de bune practici, noi tehnologii și metode inovatoare în educație și formare profesională.</w:t>
            </w:r>
          </w:p>
          <w:p w:rsidR="007A7CDC" w:rsidRPr="007A7CDC" w:rsidRDefault="007A7CDC" w:rsidP="007A7CDC">
            <w:pPr>
              <w:pStyle w:val="ListParagraph"/>
              <w:spacing w:after="0" w:line="240" w:lineRule="auto"/>
              <w:rPr>
                <w:rFonts w:ascii="Arial Narrow" w:hAnsi="Arial Narrow"/>
              </w:rPr>
            </w:pPr>
          </w:p>
          <w:p w:rsidR="008862CE" w:rsidRPr="008862CE" w:rsidRDefault="008862CE" w:rsidP="008862CE">
            <w:pPr>
              <w:pStyle w:val="ListParagraph"/>
              <w:numPr>
                <w:ilvl w:val="0"/>
                <w:numId w:val="41"/>
              </w:numPr>
              <w:spacing w:after="0" w:line="240" w:lineRule="auto"/>
              <w:rPr>
                <w:rFonts w:ascii="Arial Narrow" w:hAnsi="Arial Narrow"/>
                <w:b/>
                <w:bCs/>
                <w:i/>
                <w:iCs/>
                <w:u w:val="single"/>
              </w:rPr>
            </w:pPr>
            <w:r w:rsidRPr="008862CE">
              <w:rPr>
                <w:rFonts w:ascii="Arial Narrow" w:hAnsi="Arial Narrow"/>
                <w:b/>
                <w:bCs/>
                <w:i/>
                <w:iCs/>
                <w:u w:val="single"/>
              </w:rPr>
              <w:t>Colegiului Economic”Gheorghe Chițu” Craiova</w:t>
            </w:r>
          </w:p>
          <w:p w:rsidR="008862CE" w:rsidRDefault="008862CE" w:rsidP="008862CE">
            <w:pPr>
              <w:spacing w:after="0" w:line="240" w:lineRule="auto"/>
              <w:ind w:left="0"/>
              <w:rPr>
                <w:rFonts w:ascii="Arial Narrow" w:hAnsi="Arial Narrow"/>
              </w:rPr>
            </w:pPr>
            <w:r w:rsidRPr="008862CE">
              <w:rPr>
                <w:rFonts w:ascii="Arial Narrow" w:hAnsi="Arial Narrow"/>
                <w:b/>
                <w:bCs/>
                <w:i/>
                <w:iCs/>
                <w:u w:val="single"/>
              </w:rPr>
              <w:t>Proiect ERASMUS PLUS"Practică europeană,un pas important în carieră"</w:t>
            </w:r>
            <w:r w:rsidRPr="008862CE">
              <w:rPr>
                <w:rFonts w:ascii="Arial Narrow" w:hAnsi="Arial Narrow"/>
              </w:rPr>
              <w:t>, în perioada 01.08.2020-31.10.2022</w:t>
            </w:r>
            <w:r w:rsidR="00E363A5">
              <w:rPr>
                <w:rFonts w:ascii="Arial Narrow" w:hAnsi="Arial Narrow"/>
              </w:rPr>
              <w:t>.</w:t>
            </w:r>
            <w:r w:rsidRPr="008862CE">
              <w:rPr>
                <w:rFonts w:ascii="Arial Narrow" w:hAnsi="Arial Narrow"/>
              </w:rPr>
              <w:t>Obiectivele generale ale proiectului au urmarit  realizarea unei formari initiale calitativ</w:t>
            </w:r>
            <w:r>
              <w:rPr>
                <w:rFonts w:ascii="Arial Narrow" w:hAnsi="Arial Narrow"/>
              </w:rPr>
              <w:t>e,</w:t>
            </w:r>
            <w:r w:rsidRPr="008862CE">
              <w:rPr>
                <w:rFonts w:ascii="Arial Narrow" w:hAnsi="Arial Narrow"/>
              </w:rPr>
              <w:t xml:space="preserve"> conform</w:t>
            </w:r>
            <w:r>
              <w:rPr>
                <w:rFonts w:ascii="Arial Narrow" w:hAnsi="Arial Narrow"/>
              </w:rPr>
              <w:t>ă</w:t>
            </w:r>
            <w:r w:rsidRPr="008862CE">
              <w:rPr>
                <w:rFonts w:ascii="Arial Narrow" w:hAnsi="Arial Narrow"/>
              </w:rPr>
              <w:t xml:space="preserve"> cu aştept</w:t>
            </w:r>
            <w:r>
              <w:rPr>
                <w:rFonts w:ascii="Arial Narrow" w:hAnsi="Arial Narrow"/>
              </w:rPr>
              <w:t>ă</w:t>
            </w:r>
            <w:r w:rsidRPr="008862CE">
              <w:rPr>
                <w:rFonts w:ascii="Arial Narrow" w:hAnsi="Arial Narrow"/>
              </w:rPr>
              <w:t>rile angajatorilor rom</w:t>
            </w:r>
            <w:r>
              <w:rPr>
                <w:rFonts w:ascii="Arial Narrow" w:hAnsi="Arial Narrow"/>
              </w:rPr>
              <w:t>â</w:t>
            </w:r>
            <w:r w:rsidRPr="008862CE">
              <w:rPr>
                <w:rFonts w:ascii="Arial Narrow" w:hAnsi="Arial Narrow"/>
              </w:rPr>
              <w:t xml:space="preserve">ni </w:t>
            </w:r>
            <w:r>
              <w:rPr>
                <w:rFonts w:ascii="Arial Narrow" w:hAnsi="Arial Narrow"/>
              </w:rPr>
              <w:t>ș</w:t>
            </w:r>
            <w:r w:rsidRPr="008862CE">
              <w:rPr>
                <w:rFonts w:ascii="Arial Narrow" w:hAnsi="Arial Narrow"/>
              </w:rPr>
              <w:t>i str</w:t>
            </w:r>
            <w:r>
              <w:rPr>
                <w:rFonts w:ascii="Arial Narrow" w:hAnsi="Arial Narrow"/>
              </w:rPr>
              <w:t>ă</w:t>
            </w:r>
            <w:r w:rsidRPr="008862CE">
              <w:rPr>
                <w:rFonts w:ascii="Arial Narrow" w:hAnsi="Arial Narrow"/>
              </w:rPr>
              <w:t xml:space="preserve">ini din domeniul economic,turism </w:t>
            </w:r>
            <w:r>
              <w:rPr>
                <w:rFonts w:ascii="Arial Narrow" w:hAnsi="Arial Narrow"/>
              </w:rPr>
              <w:t>ș</w:t>
            </w:r>
            <w:r w:rsidRPr="008862CE">
              <w:rPr>
                <w:rFonts w:ascii="Arial Narrow" w:hAnsi="Arial Narrow"/>
              </w:rPr>
              <w:t>i alimentatie.</w:t>
            </w:r>
          </w:p>
          <w:p w:rsidR="008D2CD4" w:rsidRPr="008862CE" w:rsidRDefault="008D2CD4" w:rsidP="008862CE">
            <w:pPr>
              <w:spacing w:after="0" w:line="240" w:lineRule="auto"/>
              <w:ind w:left="0"/>
              <w:rPr>
                <w:rFonts w:ascii="Arial Narrow" w:hAnsi="Arial Narrow"/>
                <w:color w:val="002060"/>
                <w:sz w:val="24"/>
                <w:szCs w:val="24"/>
              </w:rPr>
            </w:pPr>
          </w:p>
        </w:tc>
      </w:tr>
      <w:tr w:rsidR="00DB1DCC" w:rsidRPr="00DB1DCC" w:rsidTr="00F005DA">
        <w:tc>
          <w:tcPr>
            <w:tcW w:w="0" w:type="auto"/>
            <w:shd w:val="clear" w:color="auto" w:fill="auto"/>
          </w:tcPr>
          <w:p w:rsidR="00080C3B" w:rsidRPr="00DB1DCC" w:rsidRDefault="00080C3B" w:rsidP="0085751B">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lastRenderedPageBreak/>
              <w:t>4.</w:t>
            </w:r>
          </w:p>
        </w:tc>
        <w:tc>
          <w:tcPr>
            <w:tcW w:w="8974" w:type="dxa"/>
            <w:shd w:val="clear" w:color="auto" w:fill="auto"/>
          </w:tcPr>
          <w:p w:rsidR="00080C3B" w:rsidRPr="00234C5B" w:rsidRDefault="00080C3B" w:rsidP="008862CE">
            <w:pPr>
              <w:spacing w:after="0" w:line="240" w:lineRule="auto"/>
              <w:ind w:left="0"/>
              <w:rPr>
                <w:rFonts w:ascii="Arial Narrow" w:hAnsi="Arial Narrow"/>
                <w:b/>
                <w:bCs/>
                <w:color w:val="002060"/>
                <w:sz w:val="24"/>
                <w:szCs w:val="24"/>
                <w:u w:val="single"/>
              </w:rPr>
            </w:pPr>
            <w:r w:rsidRPr="00234C5B">
              <w:rPr>
                <w:rFonts w:ascii="Arial Narrow" w:hAnsi="Arial Narrow"/>
                <w:b/>
                <w:bCs/>
                <w:color w:val="002060"/>
                <w:sz w:val="24"/>
                <w:szCs w:val="24"/>
                <w:u w:val="single"/>
              </w:rPr>
              <w:t>Corelarea cu proiecte în curs de implementare de la nivel local</w:t>
            </w:r>
          </w:p>
          <w:p w:rsidR="006C211B" w:rsidRDefault="006C211B" w:rsidP="008862CE">
            <w:pPr>
              <w:spacing w:after="0" w:line="240" w:lineRule="auto"/>
              <w:ind w:left="0"/>
              <w:rPr>
                <w:rFonts w:ascii="Arial Narrow" w:hAnsi="Arial Narrow"/>
              </w:rPr>
            </w:pPr>
          </w:p>
          <w:p w:rsidR="00234C5B" w:rsidRDefault="00234C5B" w:rsidP="008862CE">
            <w:pPr>
              <w:spacing w:after="0" w:line="240" w:lineRule="auto"/>
              <w:ind w:left="0"/>
              <w:rPr>
                <w:rFonts w:ascii="Arial Narrow" w:hAnsi="Arial Narrow"/>
              </w:rPr>
            </w:pPr>
            <w:r w:rsidRPr="00234C5B">
              <w:rPr>
                <w:rFonts w:ascii="Arial Narrow" w:hAnsi="Arial Narrow"/>
              </w:rPr>
              <w:t xml:space="preserve">Proiectul ”Campus Regional Oltenia pentru Învăţământul Dual” se corelează cu mai multe proiecte </w:t>
            </w:r>
            <w:r w:rsidR="00741E48">
              <w:rPr>
                <w:rFonts w:ascii="Arial Narrow" w:hAnsi="Arial Narrow"/>
              </w:rPr>
              <w:t xml:space="preserve">în curs de </w:t>
            </w:r>
            <w:r w:rsidRPr="00234C5B">
              <w:rPr>
                <w:rFonts w:ascii="Arial Narrow" w:hAnsi="Arial Narrow"/>
              </w:rPr>
              <w:t>implementa</w:t>
            </w:r>
            <w:r w:rsidR="00741E48">
              <w:rPr>
                <w:rFonts w:ascii="Arial Narrow" w:hAnsi="Arial Narrow"/>
              </w:rPr>
              <w:t>r</w:t>
            </w:r>
            <w:r w:rsidRPr="00234C5B">
              <w:rPr>
                <w:rFonts w:ascii="Arial Narrow" w:hAnsi="Arial Narrow"/>
              </w:rPr>
              <w:t>e la nivel local din care enumerăm:</w:t>
            </w:r>
          </w:p>
          <w:p w:rsidR="006C211B" w:rsidRPr="00234C5B" w:rsidRDefault="006C211B" w:rsidP="008862CE">
            <w:pPr>
              <w:spacing w:after="0" w:line="240" w:lineRule="auto"/>
              <w:ind w:left="0"/>
              <w:rPr>
                <w:rFonts w:ascii="Arial Narrow" w:hAnsi="Arial Narrow"/>
              </w:rPr>
            </w:pPr>
          </w:p>
          <w:p w:rsidR="00080C3B" w:rsidRPr="00C519CF" w:rsidRDefault="00E363A5" w:rsidP="00E363A5">
            <w:pPr>
              <w:pStyle w:val="ListParagraph"/>
              <w:numPr>
                <w:ilvl w:val="0"/>
                <w:numId w:val="41"/>
              </w:numPr>
              <w:spacing w:after="0" w:line="240" w:lineRule="auto"/>
              <w:rPr>
                <w:rFonts w:ascii="Arial Narrow" w:hAnsi="Arial Narrow"/>
                <w:b/>
                <w:bCs/>
                <w:i/>
                <w:iCs/>
                <w:u w:val="single"/>
              </w:rPr>
            </w:pPr>
            <w:r w:rsidRPr="00C519CF">
              <w:rPr>
                <w:rFonts w:ascii="Arial Narrow" w:hAnsi="Arial Narrow"/>
                <w:b/>
                <w:bCs/>
                <w:i/>
                <w:iCs/>
                <w:u w:val="single"/>
              </w:rPr>
              <w:t>Colegiului Economic”Gheorghe Chițu” Craiova</w:t>
            </w:r>
          </w:p>
          <w:p w:rsidR="00080C3B" w:rsidRDefault="00E363A5" w:rsidP="00E363A5">
            <w:pPr>
              <w:spacing w:after="0" w:line="240" w:lineRule="auto"/>
              <w:ind w:left="0"/>
              <w:rPr>
                <w:rFonts w:ascii="Arial Narrow" w:hAnsi="Arial Narrow"/>
              </w:rPr>
            </w:pPr>
            <w:r w:rsidRPr="00C519CF">
              <w:rPr>
                <w:rFonts w:ascii="Arial Narrow" w:hAnsi="Arial Narrow"/>
                <w:b/>
                <w:bCs/>
                <w:i/>
                <w:iCs/>
                <w:u w:val="single"/>
              </w:rPr>
              <w:t>Proiect ERASMUS PLUSNr. contract 2022-1-RO01-KA121 VET -000057655</w:t>
            </w:r>
            <w:r w:rsidRPr="00C519CF">
              <w:rPr>
                <w:rFonts w:ascii="Arial Narrow" w:hAnsi="Arial Narrow"/>
              </w:rPr>
              <w:t>, în perioada 01.08.2022-31.10.2023.Obiectivele generale ale proiectului urmaresc  realizarea unei formari initiale calitativ</w:t>
            </w:r>
            <w:r w:rsidR="00384F77">
              <w:rPr>
                <w:rFonts w:ascii="Arial Narrow" w:hAnsi="Arial Narrow"/>
              </w:rPr>
              <w:t>e,</w:t>
            </w:r>
            <w:r w:rsidRPr="00C519CF">
              <w:rPr>
                <w:rFonts w:ascii="Arial Narrow" w:hAnsi="Arial Narrow"/>
              </w:rPr>
              <w:t xml:space="preserve"> conform</w:t>
            </w:r>
            <w:r w:rsidR="00384F77">
              <w:rPr>
                <w:rFonts w:ascii="Arial Narrow" w:hAnsi="Arial Narrow"/>
              </w:rPr>
              <w:t>ă</w:t>
            </w:r>
            <w:r w:rsidRPr="00C519CF">
              <w:rPr>
                <w:rFonts w:ascii="Arial Narrow" w:hAnsi="Arial Narrow"/>
              </w:rPr>
              <w:t xml:space="preserve"> cu aştept</w:t>
            </w:r>
            <w:r w:rsidR="00384F77">
              <w:rPr>
                <w:rFonts w:ascii="Arial Narrow" w:hAnsi="Arial Narrow"/>
              </w:rPr>
              <w:t>ă</w:t>
            </w:r>
            <w:r w:rsidRPr="00C519CF">
              <w:rPr>
                <w:rFonts w:ascii="Arial Narrow" w:hAnsi="Arial Narrow"/>
              </w:rPr>
              <w:t>rile angajatorilor rom</w:t>
            </w:r>
            <w:r w:rsidR="00384F77">
              <w:rPr>
                <w:rFonts w:ascii="Arial Narrow" w:hAnsi="Arial Narrow"/>
              </w:rPr>
              <w:t>â</w:t>
            </w:r>
            <w:r w:rsidRPr="00C519CF">
              <w:rPr>
                <w:rFonts w:ascii="Arial Narrow" w:hAnsi="Arial Narrow"/>
              </w:rPr>
              <w:t xml:space="preserve">ni </w:t>
            </w:r>
            <w:r w:rsidR="00384F77">
              <w:rPr>
                <w:rFonts w:ascii="Arial Narrow" w:hAnsi="Arial Narrow"/>
              </w:rPr>
              <w:t>ș</w:t>
            </w:r>
            <w:r w:rsidRPr="00C519CF">
              <w:rPr>
                <w:rFonts w:ascii="Arial Narrow" w:hAnsi="Arial Narrow"/>
              </w:rPr>
              <w:t>i str</w:t>
            </w:r>
            <w:r w:rsidR="00384F77">
              <w:rPr>
                <w:rFonts w:ascii="Arial Narrow" w:hAnsi="Arial Narrow"/>
              </w:rPr>
              <w:t>ă</w:t>
            </w:r>
            <w:r w:rsidRPr="00C519CF">
              <w:rPr>
                <w:rFonts w:ascii="Arial Narrow" w:hAnsi="Arial Narrow"/>
              </w:rPr>
              <w:t xml:space="preserve">ini din domeniul economic,turism </w:t>
            </w:r>
            <w:r w:rsidR="00384F77">
              <w:rPr>
                <w:rFonts w:ascii="Arial Narrow" w:hAnsi="Arial Narrow"/>
              </w:rPr>
              <w:t>ș</w:t>
            </w:r>
            <w:r w:rsidRPr="00C519CF">
              <w:rPr>
                <w:rFonts w:ascii="Arial Narrow" w:hAnsi="Arial Narrow"/>
              </w:rPr>
              <w:t>i alimenta</w:t>
            </w:r>
            <w:r w:rsidR="00384F77">
              <w:rPr>
                <w:rFonts w:ascii="Arial Narrow" w:hAnsi="Arial Narrow"/>
              </w:rPr>
              <w:t>ț</w:t>
            </w:r>
            <w:r w:rsidRPr="00C519CF">
              <w:rPr>
                <w:rFonts w:ascii="Arial Narrow" w:hAnsi="Arial Narrow"/>
              </w:rPr>
              <w:t>ie.</w:t>
            </w:r>
          </w:p>
          <w:p w:rsidR="004F3F2F" w:rsidRDefault="004F3F2F" w:rsidP="00E363A5">
            <w:pPr>
              <w:spacing w:after="0" w:line="240" w:lineRule="auto"/>
              <w:ind w:left="0"/>
              <w:rPr>
                <w:rFonts w:ascii="Arial Narrow" w:hAnsi="Arial Narrow"/>
              </w:rPr>
            </w:pPr>
          </w:p>
          <w:p w:rsidR="00614F29" w:rsidRPr="004F3F2F" w:rsidRDefault="004F3F2F" w:rsidP="004F3F2F">
            <w:pPr>
              <w:pStyle w:val="ListParagraph"/>
              <w:numPr>
                <w:ilvl w:val="0"/>
                <w:numId w:val="41"/>
              </w:numPr>
              <w:spacing w:after="0" w:line="240" w:lineRule="auto"/>
              <w:rPr>
                <w:rFonts w:ascii="Arial Narrow" w:hAnsi="Arial Narrow"/>
                <w:color w:val="002060"/>
              </w:rPr>
            </w:pPr>
            <w:r w:rsidRPr="004F3F2F">
              <w:rPr>
                <w:rFonts w:ascii="Arial Narrow" w:hAnsi="Arial Narrow"/>
                <w:b/>
                <w:bCs/>
                <w:i/>
                <w:iCs/>
                <w:u w:val="single"/>
              </w:rPr>
              <w:t>Liceul Tehnologic de Transporturi Auto Craiova</w:t>
            </w:r>
          </w:p>
          <w:p w:rsidR="004F3F2F" w:rsidRPr="008C25E9" w:rsidRDefault="004F3F2F" w:rsidP="000C68C8">
            <w:pPr>
              <w:spacing w:after="0" w:line="240" w:lineRule="auto"/>
              <w:ind w:left="0"/>
              <w:rPr>
                <w:rFonts w:ascii="Arial Narrow" w:hAnsi="Arial Narrow"/>
              </w:rPr>
            </w:pPr>
            <w:r w:rsidRPr="008C25E9">
              <w:rPr>
                <w:rFonts w:ascii="Arial Narrow" w:hAnsi="Arial Narrow"/>
              </w:rPr>
              <w:t>Proiect ERASMUS +(2022-1-RO01-KA121-VET-000053069)</w:t>
            </w:r>
            <w:r w:rsidR="000C68C8" w:rsidRPr="008C25E9">
              <w:rPr>
                <w:rFonts w:ascii="Arial Narrow" w:hAnsi="Arial Narrow"/>
              </w:rPr>
              <w:t>, în perioada 01.06.2022-30.08.2023</w:t>
            </w:r>
            <w:r w:rsidR="008C25E9" w:rsidRPr="008C25E9">
              <w:rPr>
                <w:rFonts w:ascii="Arial Narrow" w:hAnsi="Arial Narrow"/>
              </w:rPr>
              <w:t>,având ca obiective:</w:t>
            </w:r>
          </w:p>
          <w:p w:rsidR="008C25E9" w:rsidRPr="008C25E9" w:rsidRDefault="008C25E9" w:rsidP="008C25E9">
            <w:pPr>
              <w:pStyle w:val="ListParagraph"/>
              <w:numPr>
                <w:ilvl w:val="0"/>
                <w:numId w:val="49"/>
              </w:numPr>
              <w:spacing w:after="0" w:line="240" w:lineRule="auto"/>
              <w:rPr>
                <w:rFonts w:ascii="Arial Narrow" w:hAnsi="Arial Narrow"/>
              </w:rPr>
            </w:pPr>
            <w:r w:rsidRPr="008C25E9">
              <w:rPr>
                <w:rFonts w:ascii="Arial Narrow" w:hAnsi="Arial Narrow"/>
              </w:rPr>
              <w:t>Creșterea calității stagiilor de pregătire practică prin organizarea de mobilități de formare de un înalt nivel calitativ pentru tinerii aflați în formare profesională inițială în cadrul instituției candidat</w:t>
            </w:r>
          </w:p>
          <w:p w:rsidR="008C25E9" w:rsidRPr="008C25E9" w:rsidRDefault="008C25E9" w:rsidP="008C25E9">
            <w:pPr>
              <w:pStyle w:val="ListParagraph"/>
              <w:numPr>
                <w:ilvl w:val="0"/>
                <w:numId w:val="49"/>
              </w:numPr>
              <w:spacing w:after="0" w:line="240" w:lineRule="auto"/>
              <w:rPr>
                <w:rFonts w:ascii="Arial Narrow" w:hAnsi="Arial Narrow"/>
              </w:rPr>
            </w:pPr>
            <w:r w:rsidRPr="008C25E9">
              <w:rPr>
                <w:rFonts w:ascii="Arial Narrow" w:hAnsi="Arial Narrow"/>
              </w:rPr>
              <w:t>Creșterea inserției pe piața muncii a absolvenților de învățământ liceal și profesional ca urmare a dezvoltării competențelor profesionale, personale și lingvistice ale acestora prin participarea la stagii internaționale.</w:t>
            </w:r>
          </w:p>
          <w:p w:rsidR="008C25E9" w:rsidRPr="006D72B8" w:rsidRDefault="008C25E9" w:rsidP="008C25E9">
            <w:pPr>
              <w:pStyle w:val="ListParagraph"/>
              <w:numPr>
                <w:ilvl w:val="0"/>
                <w:numId w:val="49"/>
              </w:numPr>
              <w:spacing w:after="0" w:line="240" w:lineRule="auto"/>
              <w:rPr>
                <w:rFonts w:ascii="Arial Narrow" w:hAnsi="Arial Narrow"/>
                <w:color w:val="002060"/>
              </w:rPr>
            </w:pPr>
            <w:r w:rsidRPr="008C25E9">
              <w:rPr>
                <w:rFonts w:ascii="Arial Narrow" w:hAnsi="Arial Narrow"/>
              </w:rPr>
              <w:t>Dezvoltarea rețelelor profesionale cu instituții din domeniul educației și agenți economici din UE în vederea creșterii schimbului de bune practici, noi tehnologii și metode inovatoare în educație și formare profesională.</w:t>
            </w:r>
          </w:p>
          <w:p w:rsidR="006D72B8" w:rsidRPr="008C25E9" w:rsidRDefault="006D72B8" w:rsidP="006D72B8">
            <w:pPr>
              <w:pStyle w:val="ListParagraph"/>
              <w:spacing w:after="0" w:line="240" w:lineRule="auto"/>
              <w:rPr>
                <w:rFonts w:ascii="Arial Narrow" w:hAnsi="Arial Narrow"/>
                <w:color w:val="002060"/>
              </w:rPr>
            </w:pPr>
          </w:p>
        </w:tc>
      </w:tr>
      <w:tr w:rsidR="00DB1DCC" w:rsidRPr="00DB1DCC" w:rsidTr="00F005DA">
        <w:tc>
          <w:tcPr>
            <w:tcW w:w="0" w:type="auto"/>
            <w:shd w:val="clear" w:color="auto" w:fill="auto"/>
          </w:tcPr>
          <w:p w:rsidR="00080C3B" w:rsidRPr="00DB1DCC" w:rsidRDefault="00080C3B" w:rsidP="0085751B">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t>5.</w:t>
            </w:r>
          </w:p>
        </w:tc>
        <w:tc>
          <w:tcPr>
            <w:tcW w:w="8974" w:type="dxa"/>
            <w:shd w:val="clear" w:color="auto" w:fill="auto"/>
          </w:tcPr>
          <w:p w:rsidR="00080C3B" w:rsidRPr="00853909" w:rsidRDefault="00080C3B" w:rsidP="0085751B">
            <w:pPr>
              <w:spacing w:after="0" w:line="240" w:lineRule="auto"/>
              <w:ind w:left="0"/>
              <w:rPr>
                <w:rFonts w:ascii="Arial Narrow" w:hAnsi="Arial Narrow"/>
                <w:b/>
                <w:bCs/>
                <w:color w:val="002060"/>
                <w:sz w:val="24"/>
                <w:szCs w:val="24"/>
                <w:u w:val="single"/>
              </w:rPr>
            </w:pPr>
            <w:r w:rsidRPr="00853909">
              <w:rPr>
                <w:rFonts w:ascii="Arial Narrow" w:hAnsi="Arial Narrow"/>
                <w:b/>
                <w:bCs/>
                <w:color w:val="002060"/>
                <w:sz w:val="24"/>
                <w:szCs w:val="24"/>
                <w:u w:val="single"/>
              </w:rPr>
              <w:t>Corelarea cu celelalte proiecte pentru care se aplică la finanțare</w:t>
            </w:r>
          </w:p>
          <w:p w:rsidR="00853909" w:rsidRPr="00713256" w:rsidRDefault="00853909" w:rsidP="00853909">
            <w:pPr>
              <w:spacing w:after="0" w:line="240" w:lineRule="auto"/>
              <w:ind w:left="0"/>
              <w:rPr>
                <w:rFonts w:ascii="Arial Narrow" w:hAnsi="Arial Narrow"/>
              </w:rPr>
            </w:pPr>
            <w:r w:rsidRPr="00713256">
              <w:rPr>
                <w:rFonts w:ascii="Arial Narrow" w:hAnsi="Arial Narrow"/>
              </w:rPr>
              <w:t xml:space="preserve">Proiectul </w:t>
            </w:r>
            <w:r w:rsidRPr="00713256">
              <w:rPr>
                <w:rFonts w:ascii="Arial Narrow" w:hAnsi="Arial Narrow"/>
                <w:i/>
                <w:iCs/>
              </w:rPr>
              <w:t>”Campus Regional Oltenia pentru Învăţământul Dual</w:t>
            </w:r>
            <w:r w:rsidRPr="00713256">
              <w:rPr>
                <w:rFonts w:ascii="Arial Narrow" w:hAnsi="Arial Narrow"/>
              </w:rPr>
              <w:t xml:space="preserve">” se corelează cu un alt proiect ce va fi propus spre finanțare prin Planul Național de Redresare și Reziliență, Componenta C15: Educație, respectiv </w:t>
            </w:r>
            <w:r w:rsidRPr="00713256">
              <w:rPr>
                <w:rFonts w:ascii="Arial Narrow" w:hAnsi="Arial Narrow"/>
                <w:i/>
                <w:iCs/>
              </w:rPr>
              <w:t>”Dotarea cu mobilier, materiale didactice și echipamente digitale a unităților de învățământ preuniversitar și a unităților conexe din județul Dolj”</w:t>
            </w:r>
            <w:r w:rsidRPr="00713256">
              <w:rPr>
                <w:rFonts w:ascii="Arial Narrow" w:hAnsi="Arial Narrow"/>
              </w:rPr>
              <w:t>, ce are ca scop:</w:t>
            </w:r>
          </w:p>
          <w:p w:rsidR="00853909" w:rsidRPr="00713256" w:rsidRDefault="00853909" w:rsidP="00853909">
            <w:pPr>
              <w:pStyle w:val="ListParagraph"/>
              <w:numPr>
                <w:ilvl w:val="0"/>
                <w:numId w:val="39"/>
              </w:numPr>
              <w:spacing w:after="0" w:line="240" w:lineRule="auto"/>
              <w:rPr>
                <w:rFonts w:ascii="Arial Narrow" w:hAnsi="Arial Narrow"/>
              </w:rPr>
            </w:pPr>
            <w:r w:rsidRPr="00713256">
              <w:rPr>
                <w:rFonts w:ascii="Arial Narrow" w:hAnsi="Arial Narrow"/>
              </w:rPr>
              <w:t>Digitalizarea unităților de învățământ</w:t>
            </w:r>
          </w:p>
          <w:p w:rsidR="00853909" w:rsidRPr="00713256" w:rsidRDefault="00853909" w:rsidP="00853909">
            <w:pPr>
              <w:pStyle w:val="ListParagraph"/>
              <w:numPr>
                <w:ilvl w:val="0"/>
                <w:numId w:val="39"/>
              </w:numPr>
              <w:spacing w:line="240" w:lineRule="auto"/>
              <w:rPr>
                <w:rFonts w:ascii="Arial Narrow" w:hAnsi="Arial Narrow"/>
              </w:rPr>
            </w:pPr>
            <w:r w:rsidRPr="00713256">
              <w:rPr>
                <w:rFonts w:ascii="Arial Narrow" w:hAnsi="Arial Narrow"/>
              </w:rPr>
              <w:t>Îmbunătățirea infrastructurii educaționale</w:t>
            </w:r>
          </w:p>
          <w:p w:rsidR="00853909" w:rsidRPr="00713256" w:rsidRDefault="00853909" w:rsidP="00853909">
            <w:pPr>
              <w:spacing w:line="240" w:lineRule="auto"/>
              <w:ind w:left="0"/>
              <w:rPr>
                <w:rFonts w:ascii="Arial Narrow" w:hAnsi="Arial Narrow"/>
              </w:rPr>
            </w:pPr>
            <w:r w:rsidRPr="00713256">
              <w:rPr>
                <w:rFonts w:ascii="Arial Narrow" w:hAnsi="Arial Narrow"/>
              </w:rPr>
              <w:t>În cadrul acestui proiect vor fi achiziționate:</w:t>
            </w:r>
          </w:p>
          <w:p w:rsidR="00853909" w:rsidRPr="00713256" w:rsidRDefault="00853909" w:rsidP="00853909">
            <w:pPr>
              <w:pStyle w:val="ListParagraph"/>
              <w:numPr>
                <w:ilvl w:val="0"/>
                <w:numId w:val="40"/>
              </w:numPr>
              <w:spacing w:after="0" w:line="240" w:lineRule="auto"/>
              <w:rPr>
                <w:rFonts w:ascii="Arial Narrow" w:hAnsi="Arial Narrow"/>
              </w:rPr>
            </w:pPr>
            <w:r w:rsidRPr="00713256">
              <w:rPr>
                <w:rFonts w:ascii="Arial Narrow" w:hAnsi="Arial Narrow"/>
                <w:u w:val="single"/>
              </w:rPr>
              <w:t>Echipamente digitale</w:t>
            </w:r>
            <w:r w:rsidRPr="00713256">
              <w:rPr>
                <w:rFonts w:ascii="Arial Narrow" w:hAnsi="Arial Narrow"/>
              </w:rPr>
              <w:t xml:space="preserve"> pentru: </w:t>
            </w:r>
          </w:p>
          <w:p w:rsidR="00853909" w:rsidRPr="00713256" w:rsidRDefault="00853909" w:rsidP="00853909">
            <w:pPr>
              <w:spacing w:after="0" w:line="240" w:lineRule="auto"/>
              <w:ind w:left="0"/>
              <w:rPr>
                <w:rFonts w:ascii="Arial Narrow" w:hAnsi="Arial Narrow"/>
              </w:rPr>
            </w:pPr>
            <w:r w:rsidRPr="00713256">
              <w:rPr>
                <w:rFonts w:ascii="Arial Narrow" w:hAnsi="Arial Narrow"/>
              </w:rPr>
              <w:t xml:space="preserve">▪laboratoare de informatică din unități de învățământ preuniversitar;  </w:t>
            </w:r>
          </w:p>
          <w:p w:rsidR="00853909" w:rsidRPr="00713256" w:rsidRDefault="00853909" w:rsidP="00853909">
            <w:pPr>
              <w:spacing w:after="0" w:line="240" w:lineRule="auto"/>
              <w:ind w:left="0"/>
              <w:rPr>
                <w:rFonts w:ascii="Arial Narrow" w:hAnsi="Arial Narrow"/>
              </w:rPr>
            </w:pPr>
            <w:r w:rsidRPr="00713256">
              <w:rPr>
                <w:rFonts w:ascii="Arial Narrow" w:hAnsi="Arial Narrow"/>
              </w:rPr>
              <w:t xml:space="preserve">▪laboratoare școlare din unități de învățământ preuniversitar/unități conexe, cabinete de asistență psihopedagogică; </w:t>
            </w:r>
          </w:p>
          <w:p w:rsidR="00853909" w:rsidRPr="00713256" w:rsidRDefault="00853909" w:rsidP="00853909">
            <w:pPr>
              <w:spacing w:line="240" w:lineRule="auto"/>
              <w:ind w:left="0"/>
              <w:rPr>
                <w:rFonts w:ascii="Arial Narrow" w:hAnsi="Arial Narrow"/>
              </w:rPr>
            </w:pPr>
            <w:r w:rsidRPr="00713256">
              <w:rPr>
                <w:rFonts w:ascii="Arial Narrow" w:hAnsi="Arial Narrow"/>
              </w:rPr>
              <w:t xml:space="preserve">▪săli de clasă din unitățile de învățământ preuniversitar,  în vederea organizării învățării în mediul virtual. </w:t>
            </w:r>
          </w:p>
          <w:p w:rsidR="00853909" w:rsidRPr="00713256" w:rsidRDefault="00853909" w:rsidP="00853909">
            <w:pPr>
              <w:pStyle w:val="ListParagraph"/>
              <w:numPr>
                <w:ilvl w:val="0"/>
                <w:numId w:val="40"/>
              </w:numPr>
              <w:spacing w:line="240" w:lineRule="auto"/>
              <w:rPr>
                <w:rFonts w:ascii="Arial Narrow" w:hAnsi="Arial Narrow"/>
                <w:u w:val="single"/>
              </w:rPr>
            </w:pPr>
            <w:r w:rsidRPr="00713256">
              <w:rPr>
                <w:rFonts w:ascii="Arial Narrow" w:hAnsi="Arial Narrow"/>
                <w:u w:val="single"/>
              </w:rPr>
              <w:t xml:space="preserve">Mobilier pentru săli de clasă/săli de grupă </w:t>
            </w:r>
          </w:p>
          <w:p w:rsidR="00853909" w:rsidRPr="00713256" w:rsidRDefault="00853909" w:rsidP="00853909">
            <w:pPr>
              <w:pStyle w:val="ListParagraph"/>
              <w:numPr>
                <w:ilvl w:val="0"/>
                <w:numId w:val="40"/>
              </w:numPr>
              <w:spacing w:line="240" w:lineRule="auto"/>
              <w:rPr>
                <w:rFonts w:ascii="Arial Narrow" w:hAnsi="Arial Narrow"/>
              </w:rPr>
            </w:pPr>
            <w:r w:rsidRPr="00713256">
              <w:rPr>
                <w:rFonts w:ascii="Arial Narrow" w:hAnsi="Arial Narrow"/>
                <w:u w:val="single"/>
              </w:rPr>
              <w:lastRenderedPageBreak/>
              <w:t>Mobilier specific, materiale didactice</w:t>
            </w:r>
            <w:r w:rsidRPr="00713256">
              <w:rPr>
                <w:rFonts w:ascii="Arial Narrow" w:hAnsi="Arial Narrow"/>
              </w:rPr>
              <w:t>, inclusiv în format digital pentru dotarea laboratoarelor școlare, cabinetelor de asistență psihopedagogică, sălilor de sport</w:t>
            </w:r>
          </w:p>
          <w:p w:rsidR="00080C3B" w:rsidRPr="00713256" w:rsidRDefault="00853909" w:rsidP="00853909">
            <w:pPr>
              <w:pStyle w:val="ListParagraph"/>
              <w:numPr>
                <w:ilvl w:val="0"/>
                <w:numId w:val="40"/>
              </w:numPr>
              <w:spacing w:line="240" w:lineRule="auto"/>
              <w:rPr>
                <w:rFonts w:ascii="Arial Narrow" w:hAnsi="Arial Narrow"/>
              </w:rPr>
            </w:pPr>
            <w:r w:rsidRPr="00713256">
              <w:rPr>
                <w:rFonts w:ascii="Arial Narrow" w:hAnsi="Arial Narrow"/>
                <w:u w:val="single"/>
              </w:rPr>
              <w:t>Aparate, truse, instrumente, echipamente</w:t>
            </w:r>
            <w:r w:rsidRPr="00713256">
              <w:rPr>
                <w:rFonts w:ascii="Arial Narrow" w:hAnsi="Arial Narrow"/>
              </w:rPr>
              <w:t>, inclusiv în format digital, pentru atelierele de practică din unitățile de învățământ profesional și tehnic</w:t>
            </w:r>
          </w:p>
          <w:p w:rsidR="00853909" w:rsidRPr="00853909" w:rsidRDefault="00853909" w:rsidP="00853909">
            <w:pPr>
              <w:spacing w:line="240" w:lineRule="auto"/>
              <w:ind w:left="0"/>
              <w:rPr>
                <w:rFonts w:ascii="Arial Narrow" w:hAnsi="Arial Narrow"/>
                <w:color w:val="002060"/>
              </w:rPr>
            </w:pPr>
            <w:r w:rsidRPr="00713256">
              <w:rPr>
                <w:rFonts w:ascii="Arial Narrow" w:hAnsi="Arial Narrow"/>
              </w:rPr>
              <w:t xml:space="preserve">Acest proiect va fi depus spre finanțare și va fi implementat de către UAT Județul Dolj, care va fi delegat în acest sens de 20 UAT-uri din județul Dolj, precum și </w:t>
            </w:r>
            <w:r w:rsidR="001B7996" w:rsidRPr="00713256">
              <w:rPr>
                <w:rFonts w:ascii="Arial Narrow" w:hAnsi="Arial Narrow"/>
              </w:rPr>
              <w:t>pentruunitățile de învățământ special aflate în subordinea sa.</w:t>
            </w:r>
          </w:p>
        </w:tc>
      </w:tr>
      <w:tr w:rsidR="00DB1DCC" w:rsidRPr="00DB1DCC" w:rsidTr="008536FC">
        <w:trPr>
          <w:trHeight w:val="816"/>
        </w:trPr>
        <w:tc>
          <w:tcPr>
            <w:tcW w:w="0" w:type="auto"/>
            <w:shd w:val="clear" w:color="auto" w:fill="auto"/>
          </w:tcPr>
          <w:p w:rsidR="00080C3B" w:rsidRPr="00DB1DCC" w:rsidRDefault="00080C3B" w:rsidP="0085751B">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lastRenderedPageBreak/>
              <w:t>6.</w:t>
            </w:r>
          </w:p>
        </w:tc>
        <w:tc>
          <w:tcPr>
            <w:tcW w:w="8974" w:type="dxa"/>
            <w:shd w:val="clear" w:color="auto" w:fill="auto"/>
          </w:tcPr>
          <w:p w:rsidR="00080C3B" w:rsidRPr="00621E1A" w:rsidRDefault="00080C3B" w:rsidP="0085751B">
            <w:pPr>
              <w:spacing w:after="0" w:line="240" w:lineRule="auto"/>
              <w:ind w:left="0"/>
              <w:rPr>
                <w:rFonts w:ascii="Arial Narrow" w:hAnsi="Arial Narrow"/>
                <w:b/>
                <w:bCs/>
                <w:color w:val="002060"/>
                <w:sz w:val="24"/>
                <w:szCs w:val="24"/>
                <w:u w:val="single"/>
              </w:rPr>
            </w:pPr>
            <w:r w:rsidRPr="00621E1A">
              <w:rPr>
                <w:rFonts w:ascii="Arial Narrow" w:hAnsi="Arial Narrow"/>
                <w:b/>
                <w:bCs/>
                <w:color w:val="002060"/>
                <w:sz w:val="24"/>
                <w:szCs w:val="24"/>
                <w:u w:val="single"/>
              </w:rPr>
              <w:t>Efectul pozitiv previzionat prin realizarea obiectivului de investiții</w:t>
            </w:r>
          </w:p>
          <w:p w:rsidR="00080C3B" w:rsidRPr="00DB1DCC" w:rsidRDefault="00036696" w:rsidP="00621E1A">
            <w:pPr>
              <w:spacing w:line="240" w:lineRule="auto"/>
              <w:ind w:left="0"/>
              <w:rPr>
                <w:rFonts w:ascii="Arial Narrow" w:hAnsi="Arial Narrow"/>
                <w:color w:val="002060"/>
                <w:sz w:val="24"/>
                <w:szCs w:val="24"/>
              </w:rPr>
            </w:pPr>
            <w:r>
              <w:rPr>
                <w:rFonts w:ascii="Arial Narrow" w:eastAsia="Calibri" w:hAnsi="Arial Narrow" w:cs="Calibri"/>
                <w:lang w:eastAsia="en-GB"/>
              </w:rPr>
              <w:t>P</w:t>
            </w:r>
            <w:r w:rsidR="00D626F3" w:rsidRPr="00D626F3">
              <w:rPr>
                <w:rFonts w:ascii="Arial Narrow" w:eastAsia="Calibri" w:hAnsi="Arial Narrow" w:cs="Calibri"/>
                <w:lang w:eastAsia="en-GB"/>
              </w:rPr>
              <w:t>roiectul propus și obiectivele sale specifice contribuie la îndeplinirea ambelor obiective ale priorității de investiție finanțate din PNRR în cadrul acestuiapel de proiecte</w:t>
            </w:r>
            <w:r w:rsidR="00621E1A">
              <w:rPr>
                <w:rFonts w:ascii="Arial Narrow" w:eastAsia="Calibri" w:hAnsi="Arial Narrow" w:cs="Calibri"/>
                <w:lang w:eastAsia="en-GB"/>
              </w:rPr>
              <w:t xml:space="preserve"> prin:</w:t>
            </w:r>
          </w:p>
          <w:p w:rsidR="00D626F3" w:rsidRPr="00D626F3" w:rsidRDefault="00D626F3" w:rsidP="00621E1A">
            <w:pPr>
              <w:keepNext/>
              <w:keepLines/>
              <w:numPr>
                <w:ilvl w:val="0"/>
                <w:numId w:val="38"/>
              </w:numPr>
              <w:suppressAutoHyphens/>
              <w:autoSpaceDN w:val="0"/>
              <w:spacing w:line="240" w:lineRule="auto"/>
              <w:ind w:left="714" w:hanging="357"/>
              <w:jc w:val="left"/>
              <w:textAlignment w:val="baseline"/>
              <w:outlineLvl w:val="3"/>
              <w:rPr>
                <w:rFonts w:ascii="Arial Narrow" w:eastAsia="Times New Roman" w:hAnsi="Arial Narrow" w:cs="Calibri"/>
                <w:lang w:eastAsia="en-GB"/>
              </w:rPr>
            </w:pPr>
            <w:r w:rsidRPr="00D626F3">
              <w:rPr>
                <w:rFonts w:ascii="Arial Narrow" w:eastAsia="Times New Roman" w:hAnsi="Arial Narrow" w:cs="Calibri"/>
                <w:lang w:eastAsia="en-GB"/>
              </w:rPr>
              <w:t>Creșterea atractivității învățământului profesional și tehnic și a contribuției acestuia la tranziția rapidă și eficientă către o economie competitivă bazată pe inovare și cunoaştere, participativă și incluzivă, prin construirea, dotarea și dezvoltarea unui campus regional pentru învățămant dual (Campus Regional Oltenia pentru Învăţământul Dual).</w:t>
            </w:r>
          </w:p>
          <w:p w:rsidR="00D626F3" w:rsidRPr="00D626F3" w:rsidRDefault="00D626F3" w:rsidP="00D626F3">
            <w:pPr>
              <w:keepNext/>
              <w:keepLines/>
              <w:numPr>
                <w:ilvl w:val="0"/>
                <w:numId w:val="37"/>
              </w:numPr>
              <w:suppressAutoHyphens/>
              <w:autoSpaceDN w:val="0"/>
              <w:spacing w:after="200" w:line="240" w:lineRule="auto"/>
              <w:ind w:left="714" w:hanging="357"/>
              <w:jc w:val="left"/>
              <w:textAlignment w:val="baseline"/>
              <w:outlineLvl w:val="3"/>
              <w:rPr>
                <w:rFonts w:ascii="Arial Narrow" w:eastAsia="Times New Roman" w:hAnsi="Arial Narrow" w:cs="Calibri"/>
                <w:lang w:eastAsia="en-GB"/>
              </w:rPr>
            </w:pPr>
            <w:r w:rsidRPr="00D626F3">
              <w:rPr>
                <w:rFonts w:ascii="Arial Narrow" w:eastAsia="Times New Roman" w:hAnsi="Arial Narrow" w:cs="Calibri"/>
                <w:lang w:eastAsia="en-GB"/>
              </w:rPr>
              <w:t>Asigurarea accesului egal la educație în mediul urban și rural și reducerea abandonului şcolar prin includerea în ruta duală completă organizată în cadrul Consorțiului, a cel puțin 50 de elevi</w:t>
            </w:r>
            <w:r w:rsidR="000C3A5B">
              <w:rPr>
                <w:rFonts w:ascii="Arial Narrow" w:eastAsia="Times New Roman" w:hAnsi="Arial Narrow" w:cs="Calibri"/>
                <w:lang w:eastAsia="en-GB"/>
              </w:rPr>
              <w:t>,</w:t>
            </w:r>
            <w:r w:rsidRPr="00D626F3">
              <w:rPr>
                <w:rFonts w:ascii="Arial Narrow" w:eastAsia="Times New Roman" w:hAnsi="Arial Narrow" w:cs="Calibri"/>
                <w:lang w:eastAsia="en-GB"/>
              </w:rPr>
              <w:t xml:space="preserve"> proveniți din categorii defavorizate</w:t>
            </w:r>
          </w:p>
          <w:p w:rsidR="00D626F3" w:rsidRPr="00D626F3" w:rsidRDefault="00D626F3" w:rsidP="000C3A5B">
            <w:pPr>
              <w:numPr>
                <w:ilvl w:val="0"/>
                <w:numId w:val="37"/>
              </w:numPr>
              <w:suppressAutoHyphens/>
              <w:autoSpaceDN w:val="0"/>
              <w:spacing w:after="200" w:line="240" w:lineRule="auto"/>
              <w:ind w:left="714" w:hanging="357"/>
              <w:textAlignment w:val="baseline"/>
              <w:rPr>
                <w:rFonts w:ascii="Arial Narrow" w:eastAsia="Calibri" w:hAnsi="Arial Narrow" w:cs="Calibri"/>
                <w:lang w:eastAsia="en-GB"/>
              </w:rPr>
            </w:pPr>
            <w:r w:rsidRPr="00D626F3">
              <w:rPr>
                <w:rFonts w:ascii="Arial Narrow" w:eastAsia="Calibri" w:hAnsi="Arial Narrow" w:cs="Calibri"/>
                <w:lang w:eastAsia="en-GB"/>
              </w:rPr>
              <w:t>Asigurarea accesului egal la educație prin  înscrierea a cel puțin 30 de studenți</w:t>
            </w:r>
            <w:r w:rsidR="000C3A5B">
              <w:rPr>
                <w:rFonts w:ascii="Arial Narrow" w:eastAsia="Calibri" w:hAnsi="Arial Narrow" w:cs="Calibri"/>
                <w:lang w:eastAsia="en-GB"/>
              </w:rPr>
              <w:t>,</w:t>
            </w:r>
            <w:r w:rsidR="000C3A5B" w:rsidRPr="000C3A5B">
              <w:rPr>
                <w:rFonts w:ascii="Arial Narrow" w:eastAsia="Calibri" w:hAnsi="Arial Narrow" w:cs="Calibri"/>
                <w:lang w:eastAsia="en-GB"/>
              </w:rPr>
              <w:t>proveniți din categorii defavorizate</w:t>
            </w:r>
            <w:r w:rsidR="000C3A5B">
              <w:rPr>
                <w:rFonts w:ascii="Arial Narrow" w:eastAsia="Calibri" w:hAnsi="Arial Narrow" w:cs="Calibri"/>
                <w:lang w:eastAsia="en-GB"/>
              </w:rPr>
              <w:t>,</w:t>
            </w:r>
            <w:r w:rsidRPr="00D626F3">
              <w:rPr>
                <w:rFonts w:ascii="Arial Narrow" w:eastAsia="Calibri" w:hAnsi="Arial Narrow" w:cs="Calibri"/>
                <w:lang w:eastAsia="en-GB"/>
              </w:rPr>
              <w:t xml:space="preserve"> la programele de studiu dezvoltate în parteneriat cu operatorii economici, sau la programe de învățământ superior dual</w:t>
            </w:r>
          </w:p>
          <w:p w:rsidR="00080C3B" w:rsidRPr="00D626F3" w:rsidRDefault="00D626F3" w:rsidP="008536FC">
            <w:pPr>
              <w:numPr>
                <w:ilvl w:val="0"/>
                <w:numId w:val="37"/>
              </w:numPr>
              <w:suppressAutoHyphens/>
              <w:autoSpaceDN w:val="0"/>
              <w:spacing w:after="200" w:line="240" w:lineRule="auto"/>
              <w:ind w:left="714" w:hanging="357"/>
              <w:textAlignment w:val="baseline"/>
              <w:rPr>
                <w:rFonts w:ascii="Arial Narrow" w:eastAsia="Calibri" w:hAnsi="Arial Narrow" w:cs="Calibri"/>
                <w:lang w:eastAsia="en-GB"/>
              </w:rPr>
            </w:pPr>
            <w:r w:rsidRPr="00D626F3">
              <w:rPr>
                <w:rFonts w:ascii="Arial Narrow" w:eastAsia="Calibri" w:hAnsi="Arial Narrow" w:cs="Calibri"/>
                <w:lang w:eastAsia="en-GB"/>
              </w:rPr>
              <w:t>Sprijinirea inițiativelor și parteneriatelor în domeniul învățământului tehnic și profesional în vederea creșterii adaptabilității ofertei educaționale la cerințele pieței muncii prin constituirea Consorţiului Regional Integrat pentru Invăţământ Dual Craiova</w:t>
            </w:r>
          </w:p>
        </w:tc>
      </w:tr>
      <w:tr w:rsidR="00DB1DCC" w:rsidRPr="00DB1DCC" w:rsidTr="00F005DA">
        <w:tc>
          <w:tcPr>
            <w:tcW w:w="0" w:type="auto"/>
            <w:shd w:val="clear" w:color="auto" w:fill="auto"/>
          </w:tcPr>
          <w:p w:rsidR="00080C3B" w:rsidRPr="00DB1DCC" w:rsidRDefault="00080C3B" w:rsidP="0085751B">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t>7.</w:t>
            </w:r>
          </w:p>
        </w:tc>
        <w:tc>
          <w:tcPr>
            <w:tcW w:w="8974" w:type="dxa"/>
            <w:shd w:val="clear" w:color="auto" w:fill="auto"/>
          </w:tcPr>
          <w:p w:rsidR="00080C3B" w:rsidRPr="00BE637F" w:rsidRDefault="00080C3B" w:rsidP="0085751B">
            <w:pPr>
              <w:spacing w:after="0" w:line="240" w:lineRule="auto"/>
              <w:ind w:left="0"/>
              <w:rPr>
                <w:rFonts w:ascii="Arial Narrow" w:hAnsi="Arial Narrow"/>
                <w:b/>
                <w:bCs/>
                <w:color w:val="002060"/>
                <w:sz w:val="24"/>
                <w:szCs w:val="24"/>
                <w:u w:val="single"/>
              </w:rPr>
            </w:pPr>
            <w:r w:rsidRPr="00BE637F">
              <w:rPr>
                <w:rFonts w:ascii="Arial Narrow" w:hAnsi="Arial Narrow"/>
                <w:b/>
                <w:bCs/>
                <w:color w:val="002060"/>
                <w:sz w:val="24"/>
                <w:szCs w:val="24"/>
                <w:u w:val="single"/>
              </w:rPr>
              <w:t>Modul de îndeplinire a condițiilor aferente investițiilor</w:t>
            </w:r>
          </w:p>
          <w:p w:rsidR="00B724A2" w:rsidRPr="00D95426" w:rsidRDefault="00B724A2" w:rsidP="00B724A2">
            <w:pPr>
              <w:spacing w:line="240" w:lineRule="auto"/>
              <w:ind w:left="0"/>
              <w:rPr>
                <w:rFonts w:ascii="Arial Narrow" w:hAnsi="Arial Narrow"/>
              </w:rPr>
            </w:pPr>
            <w:r w:rsidRPr="00D95426">
              <w:rPr>
                <w:rFonts w:ascii="Arial Narrow" w:hAnsi="Arial Narrow"/>
              </w:rPr>
              <w:t xml:space="preserve">Proiectul </w:t>
            </w:r>
            <w:bookmarkStart w:id="1" w:name="_Hlk127183932"/>
            <w:r w:rsidRPr="00D95426">
              <w:rPr>
                <w:rFonts w:ascii="Arial Narrow" w:hAnsi="Arial Narrow"/>
                <w:b/>
                <w:bCs/>
                <w:i/>
                <w:iCs/>
              </w:rPr>
              <w:t>„Campus Regional Oltenia pentru Învăţământul Dual”</w:t>
            </w:r>
            <w:bookmarkEnd w:id="1"/>
            <w:r w:rsidRPr="00D95426">
              <w:rPr>
                <w:rFonts w:ascii="Arial Narrow" w:hAnsi="Arial Narrow"/>
              </w:rPr>
              <w:t>are în vedere dimensiunea dezvoltării durabile în următoarele aspecte: reducerea efectelor negative asupra mediului, măsuri de promovare a eficienței energetice, respectarea principiului privind „poluatorul plătește”, utilizarea eficientă a resurselor, reziliența/rezistența la dezastre.</w:t>
            </w:r>
          </w:p>
          <w:p w:rsidR="00B724A2" w:rsidRPr="00D95426" w:rsidRDefault="00B724A2" w:rsidP="00B724A2">
            <w:pPr>
              <w:spacing w:line="240" w:lineRule="auto"/>
              <w:ind w:left="0"/>
              <w:rPr>
                <w:rFonts w:ascii="Arial Narrow" w:hAnsi="Arial Narrow"/>
              </w:rPr>
            </w:pPr>
            <w:r w:rsidRPr="00D95426">
              <w:rPr>
                <w:rFonts w:ascii="Arial Narrow" w:hAnsi="Arial Narrow"/>
              </w:rPr>
              <w:t>Având în vedere importanța componentei de mediu pentru dezvoltarea durabilă, precum și recomandările europene în domeniu, proiectul se va realiza urmărind minimizarea efectelor negative asupra acestuia.</w:t>
            </w:r>
          </w:p>
          <w:p w:rsidR="00B724A2" w:rsidRPr="00D95426" w:rsidRDefault="00B724A2" w:rsidP="00B724A2">
            <w:pPr>
              <w:spacing w:line="240" w:lineRule="auto"/>
              <w:ind w:left="0"/>
              <w:rPr>
                <w:rFonts w:ascii="Arial Narrow" w:hAnsi="Arial Narrow"/>
              </w:rPr>
            </w:pPr>
            <w:r w:rsidRPr="00D95426">
              <w:rPr>
                <w:rFonts w:ascii="Arial Narrow" w:hAnsi="Arial Narrow"/>
              </w:rPr>
              <w:t>În elaborarea documentațiilor tehnice, precum și în faza de execuție, se va avea în vedere respectarea tuturor prevederilor legale în vigoare referitoare la calitatea în construcții, dar și cele specifice destinației spațiilor nou construite, astfel încât, după finalizarea construcțiilor și recepționarea acestora să poată fi obținute toate autorizațiile de funcționare necesare.</w:t>
            </w:r>
          </w:p>
          <w:p w:rsidR="00B724A2" w:rsidRPr="00BE637F" w:rsidRDefault="00B724A2" w:rsidP="00B724A2">
            <w:pPr>
              <w:spacing w:line="240" w:lineRule="auto"/>
              <w:ind w:left="0"/>
              <w:rPr>
                <w:rFonts w:ascii="Arial Narrow" w:hAnsi="Arial Narrow"/>
                <w:color w:val="002060"/>
              </w:rPr>
            </w:pPr>
            <w:r w:rsidRPr="00D95426">
              <w:rPr>
                <w:rFonts w:ascii="Arial Narrow" w:hAnsi="Arial Narrow"/>
              </w:rPr>
              <w:t>Fiecare clădire nou construită din campusul profesional integrat va respecta standardul NZEB plus (clădiri cu consum energetic aproape zero) clădiri cu performanță energetică foarte ridicată, deci cu un consum de energie primară foarte scăzut.</w:t>
            </w:r>
          </w:p>
        </w:tc>
      </w:tr>
      <w:tr w:rsidR="00DB1DCC" w:rsidRPr="00DB1DCC" w:rsidTr="00F005DA">
        <w:tc>
          <w:tcPr>
            <w:tcW w:w="0" w:type="auto"/>
            <w:shd w:val="clear" w:color="auto" w:fill="auto"/>
          </w:tcPr>
          <w:p w:rsidR="00080C3B" w:rsidRPr="00DB1DCC" w:rsidRDefault="00080C3B" w:rsidP="0085751B">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t>8.</w:t>
            </w:r>
          </w:p>
        </w:tc>
        <w:tc>
          <w:tcPr>
            <w:tcW w:w="8974" w:type="dxa"/>
            <w:shd w:val="clear" w:color="auto" w:fill="auto"/>
          </w:tcPr>
          <w:p w:rsidR="00080C3B" w:rsidRPr="00D626F3" w:rsidRDefault="00080C3B" w:rsidP="0085751B">
            <w:pPr>
              <w:spacing w:after="0" w:line="240" w:lineRule="auto"/>
              <w:ind w:left="0"/>
              <w:rPr>
                <w:rFonts w:ascii="Arial Narrow" w:hAnsi="Arial Narrow"/>
                <w:b/>
                <w:bCs/>
                <w:color w:val="002060"/>
                <w:sz w:val="24"/>
                <w:szCs w:val="24"/>
                <w:u w:val="single"/>
              </w:rPr>
            </w:pPr>
            <w:r w:rsidRPr="00D626F3">
              <w:rPr>
                <w:rFonts w:ascii="Arial Narrow" w:hAnsi="Arial Narrow"/>
                <w:b/>
                <w:bCs/>
                <w:color w:val="002060"/>
                <w:sz w:val="24"/>
                <w:szCs w:val="24"/>
                <w:u w:val="single"/>
              </w:rPr>
              <w:t>Descrierea procesului de implementare</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Metodologia propusă pentru acest proiect va fi bazata pe responsabilitate, seriozitate, implicare, motivare, o bună comunicare si spirit de echipă.</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Pe parcursul  derulării acestui proiect vor exista două tipuri de evaluări şi anume:</w:t>
            </w:r>
          </w:p>
          <w:p w:rsidR="00AB7614" w:rsidRPr="00AB7614" w:rsidRDefault="00AB7614" w:rsidP="00AB7614">
            <w:pPr>
              <w:numPr>
                <w:ilvl w:val="0"/>
                <w:numId w:val="36"/>
              </w:numPr>
              <w:suppressAutoHyphens/>
              <w:autoSpaceDN w:val="0"/>
              <w:spacing w:after="20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evaluarea internă – realizată de către echipa de implementare a proiectului</w:t>
            </w:r>
          </w:p>
          <w:p w:rsidR="00AB7614" w:rsidRPr="00AB7614" w:rsidRDefault="00AB7614" w:rsidP="00AB7614">
            <w:pPr>
              <w:numPr>
                <w:ilvl w:val="0"/>
                <w:numId w:val="36"/>
              </w:numPr>
              <w:suppressAutoHyphens/>
              <w:autoSpaceDN w:val="0"/>
              <w:spacing w:after="20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evaluarea externă – realizată de către Ministerul Educației, în calitate de coordonator de reforme și/sau investiții, responsabil pentru Componenta C15 – Educație a Planului Național de Redresare și Reziliență (PNRR) și finanțator pentru Programului-pilot pentru dezvoltarea consorțiilor integrate pentru învățământ dual, precum și alte organisme abilitate în verificarea acestui proiect</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Scopul acestor evaluări este de a estima periodic relevanţa, eficienţa, eficacitatea şi impactul proiectului în contextul obiectivelor definite iniţial.</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u w:val="single"/>
                <w:lang w:eastAsia="en-GB"/>
              </w:rPr>
              <w:lastRenderedPageBreak/>
              <w:t>Evaluarea internă</w:t>
            </w:r>
            <w:r w:rsidRPr="00AB7614">
              <w:rPr>
                <w:rFonts w:ascii="Arial Narrow" w:eastAsia="Calibri" w:hAnsi="Arial Narrow" w:cs="Calibri"/>
                <w:lang w:eastAsia="en-GB"/>
              </w:rPr>
              <w:t xml:space="preserve"> va începe cu examinarea setului de obiective propuse şi va continua pe toată durata implementării, prin verificarea progreselor realizate şi controlul realizării în timp a activităţilor propuse. Se va urmări, pe perioada derulării proiectului, monitorizarea costurilor, a calităţii şi a timpului în vederea încadrării în timpul şi costurile planificate, precum şi respectarea standardelor de calitate.</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Se vor face analize periodice, în cadrul cărora resursele, activităţile şi rezultatele vor fi monitorizate prin raportarea la obiectivele imediate şi la cele generale, comparând realitatea cu activităţile programate, timpul estimat, costurile şi calitatea, eventualele deviaţii faţă de specificaţiile din proiectul tehnic, impactul şi problemele determinate de acestea, precum şi recomandări pentru acţiunile viitoare.</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De asemenea, pentru monitorizarea lucrărilor, vor avea loc ședințe de progres lunare, sau ori de câte ori este nevoie, la care vor participa reprezentanții constructorului, proiectantului, supervizorului (dirigintele de santier), beneficiarului, în cadrul cărora va fi analizat progresul lucrărilor, încadrarea în graficul de execuție, programarea fondurilor, eventualele obstrucționări și orice alte elemente ce ar putea afecta buna implementare a proiectului.</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În ceea ce privește monitorizarea contractelor de furnizare (dotările necesare asigurării funcționalitații campusului) asistentul managerului tehnic</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 xml:space="preserve">Pe parcursul derulării proiectului pot apărea schimbări neprevăzute care pot să perturbe planificarea iniţială a activităţilor. Efectele principale ale nerespectării planificării în timp se pot concretiza în creşterea costurilor sau reducerea performanţei proiectului. Aceste probleme pot fi rezolvate printr-o monitorizare atentă şi o intervenţie eficientă. Ori de câte ori va fi necesar, se va proceda la o replanificare a activităţilor astfel încât până la sfârşitul perioadei de implementare să fie atinse toate obiectivele propuse şi, de asemenea, să fie realizate toate rezultatele stabilite. </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u w:val="single"/>
                <w:lang w:eastAsia="en-GB"/>
              </w:rPr>
              <w:t>Evaluarea externă</w:t>
            </w:r>
            <w:r w:rsidRPr="00AB7614">
              <w:rPr>
                <w:rFonts w:ascii="Arial Narrow" w:eastAsia="Calibri" w:hAnsi="Arial Narrow" w:cs="Calibri"/>
                <w:lang w:eastAsia="en-GB"/>
              </w:rPr>
              <w:t xml:space="preserve"> va fi realizată de către Ministerul Educației, în calitate de coordonator de reforme și/sau investiții, responsabil pentru Componenta C15 – Educație a Planului Național de Redresare și Reziliență (PNRR) și finanțator pentru Programului-pilot pentru dezvoltarea consorțiilor integrate pentru învățământ dual, precum și alte organisme abilitate în verificarea acestui proiect, pe baza rapoartelor de progres ale aplicantului - Consiliul Judeţean Dolj, precum şi pe baza rapoartelor de audit întocmite de către  auditorul extern autorizat.</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În stabilirea strategiei de monitorizare a implementării proiectului, precum şi în stabilirea responsabilităţilor membrilor echipei de proiect, au fost luate în considerare următoarele riscuri privind implementarea proiectului:</w:t>
            </w:r>
          </w:p>
          <w:p w:rsidR="00AB7614" w:rsidRPr="00AB7614" w:rsidRDefault="00AB7614" w:rsidP="00AB7614">
            <w:pPr>
              <w:suppressAutoHyphens/>
              <w:autoSpaceDN w:val="0"/>
              <w:spacing w:after="0" w:line="240" w:lineRule="auto"/>
              <w:ind w:left="0"/>
              <w:textAlignment w:val="baseline"/>
              <w:rPr>
                <w:rFonts w:ascii="Arial Narrow" w:eastAsia="Calibri" w:hAnsi="Arial Narrow" w:cs="Calibri"/>
                <w:u w:val="single"/>
                <w:lang w:eastAsia="en-GB"/>
              </w:rPr>
            </w:pPr>
            <w:r w:rsidRPr="00AB7614">
              <w:rPr>
                <w:rFonts w:ascii="Arial Narrow" w:eastAsia="Calibri" w:hAnsi="Arial Narrow" w:cs="Calibri"/>
                <w:u w:val="single"/>
                <w:lang w:eastAsia="en-GB"/>
              </w:rPr>
              <w:t>Riscuri interne:</w:t>
            </w:r>
          </w:p>
          <w:p w:rsidR="00AB7614" w:rsidRPr="00AB7614" w:rsidRDefault="00AB7614" w:rsidP="00AB7614">
            <w:pPr>
              <w:numPr>
                <w:ilvl w:val="0"/>
                <w:numId w:val="33"/>
              </w:numPr>
              <w:suppressAutoHyphens/>
              <w:autoSpaceDN w:val="0"/>
              <w:spacing w:after="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Riscuri legate de procedurile de achiziții publice;</w:t>
            </w:r>
          </w:p>
          <w:p w:rsidR="00AB7614" w:rsidRPr="00AB7614" w:rsidRDefault="00AB7614" w:rsidP="00AB7614">
            <w:pPr>
              <w:numPr>
                <w:ilvl w:val="0"/>
                <w:numId w:val="33"/>
              </w:numPr>
              <w:suppressAutoHyphens/>
              <w:autoSpaceDN w:val="0"/>
              <w:spacing w:after="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Riscuri legate de modul de îndeplinire a obiectelor contractelor de achiziții;</w:t>
            </w:r>
          </w:p>
          <w:p w:rsidR="00AB7614" w:rsidRPr="00AB7614" w:rsidRDefault="00AB7614" w:rsidP="00AB7614">
            <w:pPr>
              <w:numPr>
                <w:ilvl w:val="0"/>
                <w:numId w:val="33"/>
              </w:numPr>
              <w:suppressAutoHyphens/>
              <w:autoSpaceDN w:val="0"/>
              <w:spacing w:after="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Riscuri legate de fluxurile de încasări și plăti;</w:t>
            </w:r>
          </w:p>
          <w:p w:rsidR="00AB7614" w:rsidRPr="00AB7614" w:rsidRDefault="00AB7614" w:rsidP="00AB7614">
            <w:pPr>
              <w:numPr>
                <w:ilvl w:val="0"/>
                <w:numId w:val="33"/>
              </w:numPr>
              <w:suppressAutoHyphens/>
              <w:autoSpaceDN w:val="0"/>
              <w:spacing w:after="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Riscuri legate de relația cu terțe instituții și autorități;</w:t>
            </w:r>
          </w:p>
          <w:p w:rsidR="00AB7614" w:rsidRPr="00AB7614" w:rsidRDefault="00AB7614" w:rsidP="00AB7614">
            <w:pPr>
              <w:numPr>
                <w:ilvl w:val="0"/>
                <w:numId w:val="33"/>
              </w:numPr>
              <w:suppressAutoHyphens/>
              <w:autoSpaceDN w:val="0"/>
              <w:spacing w:after="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Riscuri legate de funcționarea echipei de management.</w:t>
            </w:r>
          </w:p>
          <w:p w:rsidR="00AB7614" w:rsidRPr="00AB7614" w:rsidRDefault="00AB7614" w:rsidP="00AB7614">
            <w:pPr>
              <w:suppressAutoHyphens/>
              <w:autoSpaceDN w:val="0"/>
              <w:spacing w:after="0" w:line="240" w:lineRule="auto"/>
              <w:ind w:left="0"/>
              <w:textAlignment w:val="baseline"/>
              <w:rPr>
                <w:rFonts w:ascii="Arial Narrow" w:eastAsia="Calibri" w:hAnsi="Arial Narrow" w:cs="Calibri"/>
                <w:lang w:eastAsia="en-GB"/>
              </w:rPr>
            </w:pPr>
          </w:p>
          <w:p w:rsidR="00AB7614" w:rsidRPr="00AB7614" w:rsidRDefault="00AB7614" w:rsidP="00AB7614">
            <w:pPr>
              <w:suppressAutoHyphens/>
              <w:autoSpaceDN w:val="0"/>
              <w:spacing w:after="0" w:line="240" w:lineRule="auto"/>
              <w:ind w:left="0"/>
              <w:textAlignment w:val="baseline"/>
              <w:rPr>
                <w:rFonts w:ascii="Arial Narrow" w:eastAsia="Calibri" w:hAnsi="Arial Narrow" w:cs="Calibri"/>
                <w:u w:val="single"/>
                <w:lang w:eastAsia="en-GB"/>
              </w:rPr>
            </w:pPr>
            <w:r w:rsidRPr="00AB7614">
              <w:rPr>
                <w:rFonts w:ascii="Arial Narrow" w:eastAsia="Calibri" w:hAnsi="Arial Narrow" w:cs="Calibri"/>
                <w:u w:val="single"/>
                <w:lang w:eastAsia="en-GB"/>
              </w:rPr>
              <w:t>Riscuri externe:</w:t>
            </w:r>
          </w:p>
          <w:p w:rsidR="00AB7614" w:rsidRPr="00AB7614" w:rsidRDefault="00AB7614" w:rsidP="00AB7614">
            <w:pPr>
              <w:numPr>
                <w:ilvl w:val="0"/>
                <w:numId w:val="34"/>
              </w:numPr>
              <w:suppressAutoHyphens/>
              <w:autoSpaceDN w:val="0"/>
              <w:spacing w:after="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Schimbări legislative, în special în domeniul achizițiilor și construcțiilor;</w:t>
            </w:r>
          </w:p>
          <w:p w:rsidR="00AB7614" w:rsidRPr="00AB7614" w:rsidRDefault="00AB7614" w:rsidP="00AB7614">
            <w:pPr>
              <w:numPr>
                <w:ilvl w:val="0"/>
                <w:numId w:val="34"/>
              </w:numPr>
              <w:suppressAutoHyphens/>
              <w:autoSpaceDN w:val="0"/>
              <w:spacing w:after="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Riscuri naturale.</w:t>
            </w:r>
          </w:p>
          <w:p w:rsidR="00AB7614" w:rsidRPr="00AB7614" w:rsidRDefault="00AB7614" w:rsidP="00AB7614">
            <w:pPr>
              <w:suppressAutoHyphens/>
              <w:autoSpaceDN w:val="0"/>
              <w:spacing w:after="0"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ab/>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 xml:space="preserve">Pentru gestionarea acestor riscuri, este definit un </w:t>
            </w:r>
            <w:r w:rsidRPr="00AB7614">
              <w:rPr>
                <w:rFonts w:ascii="Arial Narrow" w:eastAsia="Calibri" w:hAnsi="Arial Narrow" w:cs="Calibri"/>
                <w:i/>
                <w:iCs/>
                <w:u w:val="single"/>
                <w:lang w:eastAsia="en-GB"/>
              </w:rPr>
              <w:t>mecanism de gestionare adaptat caracteristicilor fiecărei categorii</w:t>
            </w:r>
            <w:r w:rsidRPr="00AB7614">
              <w:rPr>
                <w:rFonts w:ascii="Arial Narrow" w:eastAsia="Calibri" w:hAnsi="Arial Narrow" w:cs="Calibri"/>
                <w:lang w:eastAsia="en-GB"/>
              </w:rPr>
              <w:t>.</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 xml:space="preserve">In ceea ce privește </w:t>
            </w:r>
            <w:r w:rsidRPr="00AB7614">
              <w:rPr>
                <w:rFonts w:ascii="Arial Narrow" w:eastAsia="Calibri" w:hAnsi="Arial Narrow" w:cs="Calibri"/>
                <w:i/>
                <w:iCs/>
                <w:u w:val="single"/>
                <w:lang w:eastAsia="en-GB"/>
              </w:rPr>
              <w:t>riscurile interne</w:t>
            </w:r>
            <w:r w:rsidRPr="00AB7614">
              <w:rPr>
                <w:rFonts w:ascii="Arial Narrow" w:eastAsia="Calibri" w:hAnsi="Arial Narrow" w:cs="Calibri"/>
                <w:lang w:eastAsia="en-GB"/>
              </w:rPr>
              <w:t>:</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u w:val="single"/>
                <w:lang w:eastAsia="en-GB"/>
              </w:rPr>
              <w:t>Riscurile legate de achizițiile publice</w:t>
            </w:r>
            <w:r w:rsidRPr="00AB7614">
              <w:rPr>
                <w:rFonts w:ascii="Arial Narrow" w:eastAsia="Calibri" w:hAnsi="Arial Narrow" w:cs="Calibri"/>
                <w:lang w:eastAsia="en-GB"/>
              </w:rPr>
              <w:t xml:space="preserve"> pot genera întârzieri în atribuirea contractelor din cauza duratei mari a procedurilor de achiziții (clarificări la documentațiile de atribuire, prelungirea nejustificată a perioadelor de evaluare, contestații). Pentru contracararea acestora, în echipa de management au fost incluși managerul pentru achiziții și asistentul managerului pentru achiziții, persoane cu experiență atât în derularea procedurilor de achiziții finanțate din fonduri proprii, cât și din fonduri europene/nerambursabile. In derularea procedurilor vor fi implicați și alți membri ai echipei de management, în funcție de obiectul contractului, personal de specialitate din aparatul propriu al Consiliului Județean Dolj, dar și experți cooptați, care vor contribui la derularea fără sincope a procedurilor de atribuire prin prisma experienței și competențelor proprii. In </w:t>
            </w:r>
            <w:r w:rsidRPr="00AB7614">
              <w:rPr>
                <w:rFonts w:ascii="Arial Narrow" w:eastAsia="Calibri" w:hAnsi="Arial Narrow" w:cs="Calibri"/>
                <w:lang w:eastAsia="en-GB"/>
              </w:rPr>
              <w:lastRenderedPageBreak/>
              <w:t>elaborarea documentațiilor de atribuire se va ține cont de experiența anterioară în implementarea proiectelor cu finanțare nerambursabilă a echipei de management referitoare la: motivele generatoare de corecții financiare; motivele solicitărilor de clarificări și a contestațiilor depuse de către operatorii economici implicați în procedurile de achiziții; motivele respingerii documentațiilor ca urmare a verificării efectuate de ANAP; aspectele semnalate de către autoritățile de verificare și control – astfel încât aceste riscuri sa fie preîntâmpinate/ gestionate corespunzător.</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u w:val="single"/>
                <w:lang w:eastAsia="en-GB"/>
              </w:rPr>
              <w:t>Riscurile legate de modul de îndeplinire a obiectelor contractelor de achiziții</w:t>
            </w:r>
            <w:r w:rsidRPr="00AB7614">
              <w:rPr>
                <w:rFonts w:ascii="Arial Narrow" w:eastAsia="Calibri" w:hAnsi="Arial Narrow" w:cs="Calibri"/>
                <w:lang w:eastAsia="en-GB"/>
              </w:rPr>
              <w:t xml:space="preserve"> pot fi legate, în special, de nerespectarea prevederilor contractului de execuție a lucrărilor, dar și de prestarea necorespunzătoare a serviciilor de proiectare și de supervizare a lucrărilor. Principalele consecințe negative pot fi: calitatea slabă a lucrărilor, neîncadrarea în graficul fizic și valoric al lucrărilor, apariția unor diferențe între situația proiectată și situația existentă din teren. De asemenea, există riscul derulării anevoioase a contractelor de furnizare, având în vedere specificitatea acestora, precum șisituația economică mondială, cu impact deosebit asupra producătorilor. </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 xml:space="preserve">Pentru contracararea acestor riscuri, se va institui un sistem riguros de evaluare și monitorizare a modului de îndeplinire a contractelor respective. Pe lângă atribuțiile specifice ale fiecărui membru al echipei de management, în special managerul tehnic și asistenții săi, managerul pentru ITC și noile tehnologii și asistentul său, modul de derulare a contractelor va fi supervizat, ca o condiție orizontală, de către managerul juridic. </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 xml:space="preserve">De asemenea, se va acorda o atenție deosebită modului în care vor fi elaborate Proiectul tehnic și detaliile de execuție, astfel încât să fie minimizat, pe cât posibil, riscul existenței unor diferențe substanțiale între situația proiectată și cea existentă în teren, care să conducă la necesitatea revizuirii documentației tehnice. Managerul tehnic și asistentul său vor ține permanent legătura cu proiectantul în timpul execuției documentației, asigurându-se că acesta va elabora corect documentația, în concordanță cu datele concrete ale investiției.  </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 xml:space="preserve">Pe parcursul derulării execuției lucrărilor se vor organiza, de către Supervizor (diriginți de șantier), ședințe de progres la care vor participa atât reprezentanții constructorului, proiectantului cât și echipa de management, aceste întâlniri reprezentând un mecanism complex de evaluare și rezolvare a unor aspecte cum sunt: obstrucționările existente, respectarea graficului de lucrări, a condițiilor de calitate și de protecție a mediului, precum și a altor cerințe contractuale. De asemenea, complementar atribuțiilor Supervizrului, se vor organiza vizite în șantier ale membrilor echipei de proiect, atât programate, cât și inopinate, pentru verificarea unor aspecte cantitative, calitative ale lucrărilor, dar și a modului de îndeplinire a obligațiilor părților (de exemplu completarea zilnică a jurnalului de șantier etc). </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În ceea ce privește dotarea și operaționalizarea Campusului Regional Oltenia pentru Învățământ Dual, echipa de management va fi sprijinită de specialiști, angajați ai partenerilor, persoane cu experiență în domeniu.</w:t>
            </w:r>
          </w:p>
          <w:p w:rsidR="00AB7614" w:rsidRPr="00AB7614" w:rsidRDefault="00AB7614" w:rsidP="00AB7614">
            <w:pPr>
              <w:suppressAutoHyphens/>
              <w:autoSpaceDN w:val="0"/>
              <w:spacing w:line="240" w:lineRule="auto"/>
              <w:ind w:left="0"/>
              <w:textAlignment w:val="baseline"/>
              <w:rPr>
                <w:rFonts w:ascii="Arial Narrow" w:eastAsia="Calibri" w:hAnsi="Arial Narrow" w:cs="Calibri"/>
                <w:u w:val="single"/>
                <w:lang w:eastAsia="en-GB"/>
              </w:rPr>
            </w:pPr>
            <w:r w:rsidRPr="00AB7614">
              <w:rPr>
                <w:rFonts w:ascii="Arial Narrow" w:eastAsia="Calibri" w:hAnsi="Arial Narrow" w:cs="Calibri"/>
                <w:u w:val="single"/>
                <w:lang w:eastAsia="en-GB"/>
              </w:rPr>
              <w:t>Riscuri legate de fluxurile de încasări și plăti.</w:t>
            </w:r>
          </w:p>
          <w:p w:rsidR="00AB7614" w:rsidRPr="00AB7614" w:rsidRDefault="00AB7614" w:rsidP="00AB7614">
            <w:pPr>
              <w:suppressAutoHyphens/>
              <w:autoSpaceDN w:val="0"/>
              <w:spacing w:after="0"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In ceea ce privește riscurile financiare (blocaje la constructor, lipsa disponibilităților financiare la Beneficiar, necesitatea încheierii unor acte adiționale de mărire a valorii contractelor etc) – acestea se vor gestiona prin:</w:t>
            </w:r>
          </w:p>
          <w:p w:rsidR="00AB7614" w:rsidRPr="00AB7614" w:rsidRDefault="00AB7614" w:rsidP="00AB7614">
            <w:pPr>
              <w:numPr>
                <w:ilvl w:val="0"/>
                <w:numId w:val="35"/>
              </w:numPr>
              <w:suppressAutoHyphens/>
              <w:autoSpaceDN w:val="0"/>
              <w:spacing w:after="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utilizarea cu prioritate a mecanismului cererilor de transfer;</w:t>
            </w:r>
          </w:p>
          <w:p w:rsidR="00AB7614" w:rsidRPr="00AB7614" w:rsidRDefault="00AB7614" w:rsidP="00AB7614">
            <w:pPr>
              <w:numPr>
                <w:ilvl w:val="0"/>
                <w:numId w:val="35"/>
              </w:numPr>
              <w:suppressAutoHyphens/>
              <w:autoSpaceDN w:val="0"/>
              <w:spacing w:after="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 xml:space="preserve">transmiterea cererilor de rambursare imediat după momentul efectuării cheltuielilor respective; </w:t>
            </w:r>
          </w:p>
          <w:p w:rsidR="00AB7614" w:rsidRPr="00AB7614" w:rsidRDefault="00AB7614" w:rsidP="00AB7614">
            <w:pPr>
              <w:numPr>
                <w:ilvl w:val="0"/>
                <w:numId w:val="35"/>
              </w:numPr>
              <w:suppressAutoHyphens/>
              <w:autoSpaceDN w:val="0"/>
              <w:spacing w:after="200" w:line="240" w:lineRule="auto"/>
              <w:contextualSpacing/>
              <w:jc w:val="left"/>
              <w:textAlignment w:val="baseline"/>
              <w:rPr>
                <w:rFonts w:ascii="Arial Narrow" w:eastAsia="Calibri" w:hAnsi="Arial Narrow" w:cs="Calibri"/>
                <w:lang w:eastAsia="en-GB"/>
              </w:rPr>
            </w:pPr>
            <w:r w:rsidRPr="00AB7614">
              <w:rPr>
                <w:rFonts w:ascii="Arial Narrow" w:eastAsia="Calibri" w:hAnsi="Arial Narrow" w:cs="Calibri"/>
                <w:lang w:eastAsia="en-GB"/>
              </w:rPr>
              <w:t xml:space="preserve">luarea tuturor măsurilor pentru evitarea situațiilor care pot impune suplimentări valorice ale contractelor. </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u w:val="single"/>
                <w:lang w:eastAsia="en-GB"/>
              </w:rPr>
              <w:t>Riscuri legate de relația cu terțe instituții și autorități</w:t>
            </w:r>
            <w:r w:rsidRPr="00AB7614">
              <w:rPr>
                <w:rFonts w:ascii="Arial Narrow" w:eastAsia="Calibri" w:hAnsi="Arial Narrow" w:cs="Calibri"/>
                <w:lang w:eastAsia="en-GB"/>
              </w:rPr>
              <w:t xml:space="preserve"> pot surveni atunci când instituțiile și organismele cu atribuții de verificare/inspecții/avizare/control sesizează aspecte de neconformitate. In funcție de fiecare problemă survenită, managerul de proiect va desemna persoana/persoanele responsabile/competente, împreună cu care va întocmi strategia de abordare/rezolvare și va urmări obținerea rezultatelor/corecțiilor necesare. După caz, va urmări întocmirea și transmiterea contra-argumentelor și obiecțiilor la aspectele semnalate.</w:t>
            </w:r>
          </w:p>
          <w:p w:rsidR="00AB7614" w:rsidRPr="00AB7614" w:rsidRDefault="00AB7614" w:rsidP="00AB7614">
            <w:pPr>
              <w:suppressAutoHyphens/>
              <w:autoSpaceDN w:val="0"/>
              <w:spacing w:line="240" w:lineRule="auto"/>
              <w:ind w:left="0"/>
              <w:textAlignment w:val="baseline"/>
              <w:rPr>
                <w:rFonts w:ascii="Arial Narrow" w:eastAsia="Calibri" w:hAnsi="Arial Narrow" w:cs="Calibri"/>
                <w:u w:val="single"/>
                <w:lang w:eastAsia="en-GB"/>
              </w:rPr>
            </w:pPr>
            <w:r w:rsidRPr="00AB7614">
              <w:rPr>
                <w:rFonts w:ascii="Arial Narrow" w:eastAsia="Calibri" w:hAnsi="Arial Narrow" w:cs="Calibri"/>
                <w:u w:val="single"/>
                <w:lang w:eastAsia="en-GB"/>
              </w:rPr>
              <w:t>Riscuri legate de funcționarea echipei de management.</w:t>
            </w:r>
          </w:p>
          <w:p w:rsidR="00AB7614" w:rsidRPr="00AB7614" w:rsidRDefault="00AB7614" w:rsidP="00AB7614">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lang w:eastAsia="en-GB"/>
              </w:rPr>
              <w:t xml:space="preserve">Având în vedere experiența anterioară în implementarea și managementul proiectelor cu finanțare nerambursabilă, echipa de management este alcătuită în concordanță cu complexitatea proiectului și ținând cont de competențele specifice necesare. Managerul de proiect beneficiază de sprijinul unui asistent, cu care va gestiona această activitate și va urmări realizarea proiectului împreună cu persoanele responsabile de fiecare activitate. Un element important pentru contracararea riscului unei slabe organizări și eficiențe a </w:t>
            </w:r>
            <w:r w:rsidRPr="00AB7614">
              <w:rPr>
                <w:rFonts w:ascii="Arial Narrow" w:eastAsia="Calibri" w:hAnsi="Arial Narrow" w:cs="Calibri"/>
                <w:lang w:eastAsia="en-GB"/>
              </w:rPr>
              <w:lastRenderedPageBreak/>
              <w:t>funcționării echipei va fi reprezentat de o planificare și monitorizare corespunzătoare, atât tematică (pe activități) cât și orizontală (financiar, achiziții, raportare etc).</w:t>
            </w:r>
          </w:p>
          <w:p w:rsidR="00080C3B" w:rsidRPr="00C33B1F" w:rsidRDefault="00AB7614" w:rsidP="00C33B1F">
            <w:pPr>
              <w:suppressAutoHyphens/>
              <w:autoSpaceDN w:val="0"/>
              <w:spacing w:line="240" w:lineRule="auto"/>
              <w:ind w:left="0"/>
              <w:textAlignment w:val="baseline"/>
              <w:rPr>
                <w:rFonts w:ascii="Arial Narrow" w:eastAsia="Calibri" w:hAnsi="Arial Narrow" w:cs="Calibri"/>
                <w:lang w:eastAsia="en-GB"/>
              </w:rPr>
            </w:pPr>
            <w:r w:rsidRPr="00AB7614">
              <w:rPr>
                <w:rFonts w:ascii="Arial Narrow" w:eastAsia="Calibri" w:hAnsi="Arial Narrow" w:cs="Calibri"/>
                <w:u w:val="single"/>
                <w:lang w:eastAsia="en-GB"/>
              </w:rPr>
              <w:t>În ceea ce privește riscurile externe</w:t>
            </w:r>
            <w:r w:rsidRPr="00AB7614">
              <w:rPr>
                <w:rFonts w:ascii="Arial Narrow" w:eastAsia="Calibri" w:hAnsi="Arial Narrow" w:cs="Calibri"/>
                <w:lang w:eastAsia="en-GB"/>
              </w:rPr>
              <w:t xml:space="preserve">, acestea vor fi contracarate printr-o atentă monitorizare a </w:t>
            </w:r>
            <w:r w:rsidRPr="00AB7614">
              <w:rPr>
                <w:rFonts w:ascii="Arial Narrow" w:eastAsia="Calibri" w:hAnsi="Arial Narrow" w:cs="Calibri"/>
                <w:i/>
                <w:iCs/>
                <w:u w:val="single"/>
                <w:lang w:eastAsia="en-GB"/>
              </w:rPr>
              <w:t>schimbărilor legislative</w:t>
            </w:r>
            <w:r w:rsidRPr="00AB7614">
              <w:rPr>
                <w:rFonts w:ascii="Arial Narrow" w:eastAsia="Calibri" w:hAnsi="Arial Narrow" w:cs="Calibri"/>
                <w:lang w:eastAsia="en-GB"/>
              </w:rPr>
              <w:t xml:space="preserve"> (managerul de proiect, managerul tehnic, managerul pentru achiziții, managerul Juridic), iar o eventuală punere în aplicare a noilor prevederi legislative să se facă la timp astfel încât să nu fie afectat calendarul de implementare a proiectului. De asemenea, atât antreprenorul, cât și furnizorii dotărilor, vor avea obligația asigurării lucrărilor, personalului bunurilor și utilajelor pe perioada de derulare a contractelor împotriva riscurilor din accidente și a </w:t>
            </w:r>
            <w:r w:rsidRPr="00AB7614">
              <w:rPr>
                <w:rFonts w:ascii="Arial Narrow" w:eastAsia="Calibri" w:hAnsi="Arial Narrow" w:cs="Calibri"/>
                <w:i/>
                <w:iCs/>
                <w:u w:val="single"/>
                <w:lang w:eastAsia="en-GB"/>
              </w:rPr>
              <w:t>riscurilor naturale</w:t>
            </w:r>
            <w:r w:rsidRPr="00AB7614">
              <w:rPr>
                <w:rFonts w:ascii="Arial Narrow" w:eastAsia="Calibri" w:hAnsi="Arial Narrow" w:cs="Calibri"/>
                <w:lang w:eastAsia="en-GB"/>
              </w:rPr>
              <w:t>.</w:t>
            </w:r>
          </w:p>
        </w:tc>
      </w:tr>
      <w:tr w:rsidR="00080C3B" w:rsidRPr="00DB1DCC" w:rsidTr="00F005DA">
        <w:tc>
          <w:tcPr>
            <w:tcW w:w="0" w:type="auto"/>
            <w:shd w:val="clear" w:color="auto" w:fill="auto"/>
          </w:tcPr>
          <w:p w:rsidR="00080C3B" w:rsidRPr="00DB1DCC" w:rsidRDefault="00080C3B" w:rsidP="0085751B">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lastRenderedPageBreak/>
              <w:t>9.</w:t>
            </w:r>
          </w:p>
        </w:tc>
        <w:tc>
          <w:tcPr>
            <w:tcW w:w="8974" w:type="dxa"/>
            <w:shd w:val="clear" w:color="auto" w:fill="auto"/>
          </w:tcPr>
          <w:p w:rsidR="00080C3B" w:rsidRPr="00DB1DCC" w:rsidRDefault="00080C3B" w:rsidP="0085751B">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t>Alte informații</w:t>
            </w:r>
          </w:p>
          <w:p w:rsidR="00080C3B" w:rsidRPr="00DB1DCC" w:rsidRDefault="00080C3B" w:rsidP="0085751B">
            <w:pPr>
              <w:spacing w:after="0" w:line="240" w:lineRule="auto"/>
              <w:ind w:left="0"/>
              <w:rPr>
                <w:rFonts w:ascii="Arial Narrow" w:hAnsi="Arial Narrow"/>
                <w:color w:val="002060"/>
                <w:sz w:val="24"/>
                <w:szCs w:val="24"/>
              </w:rPr>
            </w:pPr>
          </w:p>
          <w:p w:rsidR="00080C3B" w:rsidRPr="00DB1DCC" w:rsidRDefault="00080C3B" w:rsidP="0085751B">
            <w:pPr>
              <w:spacing w:after="0" w:line="240" w:lineRule="auto"/>
              <w:ind w:left="0"/>
              <w:rPr>
                <w:rFonts w:ascii="Arial Narrow" w:hAnsi="Arial Narrow"/>
                <w:color w:val="002060"/>
                <w:sz w:val="24"/>
                <w:szCs w:val="24"/>
              </w:rPr>
            </w:pPr>
          </w:p>
        </w:tc>
      </w:tr>
    </w:tbl>
    <w:p w:rsidR="001117A9" w:rsidRPr="00DB1DCC" w:rsidRDefault="001117A9" w:rsidP="00F005DA">
      <w:pPr>
        <w:spacing w:after="0" w:line="240" w:lineRule="auto"/>
        <w:ind w:left="0"/>
        <w:rPr>
          <w:rFonts w:ascii="Arial Narrow" w:hAnsi="Arial Narrow"/>
          <w:color w:val="002060"/>
          <w:sz w:val="24"/>
          <w:szCs w:val="24"/>
        </w:rPr>
      </w:pPr>
    </w:p>
    <w:p w:rsidR="00DC68C8" w:rsidRPr="00DB1DCC" w:rsidRDefault="00DC68C8" w:rsidP="00F005DA">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t xml:space="preserve">NUME </w:t>
      </w:r>
      <w:r w:rsidR="0089240F" w:rsidRPr="00DB1DCC">
        <w:rPr>
          <w:rFonts w:ascii="Arial Narrow" w:hAnsi="Arial Narrow"/>
          <w:color w:val="002060"/>
          <w:sz w:val="24"/>
          <w:szCs w:val="24"/>
        </w:rPr>
        <w:t>Ș</w:t>
      </w:r>
      <w:r w:rsidRPr="00DB1DCC">
        <w:rPr>
          <w:rFonts w:ascii="Arial Narrow" w:hAnsi="Arial Narrow"/>
          <w:color w:val="002060"/>
          <w:sz w:val="24"/>
          <w:szCs w:val="24"/>
        </w:rPr>
        <w:t>I PRENUME ………………………………………</w:t>
      </w:r>
    </w:p>
    <w:p w:rsidR="00DC68C8" w:rsidRPr="00DB1DCC" w:rsidRDefault="004E7E95" w:rsidP="00F005DA">
      <w:pPr>
        <w:spacing w:after="0" w:line="240" w:lineRule="auto"/>
        <w:ind w:left="0"/>
        <w:rPr>
          <w:rFonts w:ascii="Arial Narrow" w:hAnsi="Arial Narrow"/>
          <w:color w:val="002060"/>
          <w:sz w:val="24"/>
          <w:szCs w:val="24"/>
        </w:rPr>
      </w:pPr>
      <w:r w:rsidRPr="00DB1DCC">
        <w:rPr>
          <w:rFonts w:ascii="Arial Narrow" w:hAnsi="Arial Narrow"/>
          <w:color w:val="002060"/>
          <w:sz w:val="24"/>
          <w:szCs w:val="24"/>
        </w:rPr>
        <w:t xml:space="preserve">DATA </w:t>
      </w:r>
      <w:r w:rsidRPr="00DB1DCC">
        <w:rPr>
          <w:rFonts w:ascii="Arial Narrow" w:hAnsi="Arial Narrow"/>
          <w:color w:val="002060"/>
          <w:sz w:val="24"/>
          <w:szCs w:val="24"/>
        </w:rPr>
        <w:tab/>
      </w:r>
      <w:r w:rsidRPr="00DB1DCC">
        <w:rPr>
          <w:rFonts w:ascii="Arial Narrow" w:hAnsi="Arial Narrow"/>
          <w:color w:val="002060"/>
          <w:sz w:val="24"/>
          <w:szCs w:val="24"/>
        </w:rPr>
        <w:tab/>
        <w:t>………………………………………</w:t>
      </w:r>
    </w:p>
    <w:p w:rsidR="002D1F30" w:rsidRDefault="004E7E95" w:rsidP="00F005DA">
      <w:pPr>
        <w:spacing w:after="0" w:line="240" w:lineRule="auto"/>
        <w:ind w:left="0"/>
        <w:rPr>
          <w:rFonts w:ascii="Arial Narrow" w:eastAsia="Times New Roman" w:hAnsi="Arial Narrow" w:cs="CACula-ExtraBold"/>
          <w:bCs/>
          <w:color w:val="002060"/>
          <w:sz w:val="24"/>
          <w:szCs w:val="24"/>
        </w:rPr>
      </w:pPr>
      <w:r w:rsidRPr="00DB1DCC">
        <w:rPr>
          <w:rFonts w:ascii="Arial Narrow" w:hAnsi="Arial Narrow"/>
          <w:color w:val="002060"/>
          <w:sz w:val="24"/>
          <w:szCs w:val="24"/>
        </w:rPr>
        <w:t xml:space="preserve">SEMNĂTURA </w:t>
      </w:r>
      <w:r w:rsidRPr="00DB1DCC">
        <w:rPr>
          <w:rFonts w:ascii="Arial Narrow" w:hAnsi="Arial Narrow"/>
          <w:color w:val="002060"/>
          <w:sz w:val="24"/>
          <w:szCs w:val="24"/>
        </w:rPr>
        <w:tab/>
        <w:t>………………………………………</w:t>
      </w:r>
    </w:p>
    <w:p w:rsidR="002D1F30" w:rsidRPr="002D1F30" w:rsidRDefault="002D1F30" w:rsidP="002D1F30">
      <w:pPr>
        <w:rPr>
          <w:rFonts w:ascii="Arial Narrow" w:eastAsia="Times New Roman" w:hAnsi="Arial Narrow" w:cs="CACula-ExtraBold"/>
          <w:sz w:val="24"/>
          <w:szCs w:val="24"/>
        </w:rPr>
      </w:pPr>
    </w:p>
    <w:p w:rsidR="002D1F30" w:rsidRPr="002D1F30" w:rsidRDefault="002D1F30" w:rsidP="002D1F30">
      <w:pPr>
        <w:rPr>
          <w:rFonts w:ascii="Arial Narrow" w:eastAsia="Times New Roman" w:hAnsi="Arial Narrow" w:cs="CACula-ExtraBold"/>
          <w:sz w:val="24"/>
          <w:szCs w:val="24"/>
        </w:rPr>
      </w:pPr>
    </w:p>
    <w:p w:rsidR="002D1F30" w:rsidRDefault="002D1F30" w:rsidP="002D1F30">
      <w:pPr>
        <w:rPr>
          <w:rFonts w:ascii="Arial Narrow" w:eastAsia="Times New Roman" w:hAnsi="Arial Narrow" w:cs="CACula-ExtraBold"/>
          <w:sz w:val="24"/>
          <w:szCs w:val="24"/>
        </w:rPr>
      </w:pPr>
    </w:p>
    <w:p w:rsidR="00521F9A" w:rsidRDefault="002D1F30" w:rsidP="002D1F30">
      <w:pPr>
        <w:tabs>
          <w:tab w:val="left" w:pos="3825"/>
        </w:tabs>
        <w:jc w:val="center"/>
        <w:rPr>
          <w:rFonts w:ascii="Arial Narrow" w:eastAsia="Times New Roman" w:hAnsi="Arial Narrow" w:cs="CACula-ExtraBold"/>
          <w:sz w:val="24"/>
          <w:szCs w:val="24"/>
        </w:rPr>
      </w:pPr>
      <w:r>
        <w:rPr>
          <w:rFonts w:ascii="Arial Narrow" w:eastAsia="Times New Roman" w:hAnsi="Arial Narrow" w:cs="CACula-ExtraBold"/>
          <w:sz w:val="24"/>
          <w:szCs w:val="24"/>
        </w:rPr>
        <w:t>PREŞEDINTE DE ŞEDINŢĂ,</w:t>
      </w:r>
    </w:p>
    <w:p w:rsidR="002D1F30" w:rsidRPr="002D1F30" w:rsidRDefault="002D1F30" w:rsidP="002D1F30">
      <w:pPr>
        <w:tabs>
          <w:tab w:val="left" w:pos="3825"/>
        </w:tabs>
        <w:jc w:val="center"/>
        <w:rPr>
          <w:rFonts w:ascii="Arial Narrow" w:eastAsia="Times New Roman" w:hAnsi="Arial Narrow" w:cs="CACula-ExtraBold"/>
          <w:sz w:val="24"/>
          <w:szCs w:val="24"/>
        </w:rPr>
      </w:pPr>
      <w:r>
        <w:rPr>
          <w:rFonts w:ascii="Arial Narrow" w:eastAsia="Times New Roman" w:hAnsi="Arial Narrow" w:cs="CACula-ExtraBold"/>
          <w:sz w:val="24"/>
          <w:szCs w:val="24"/>
        </w:rPr>
        <w:t>Lucian Costin DINDIRICĂ</w:t>
      </w:r>
    </w:p>
    <w:sectPr w:rsidR="002D1F30" w:rsidRPr="002D1F30" w:rsidSect="009A701F">
      <w:headerReference w:type="default" r:id="rId8"/>
      <w:footerReference w:type="even" r:id="rId9"/>
      <w:footerReference w:type="default" r:id="rId10"/>
      <w:headerReference w:type="first" r:id="rId11"/>
      <w:footerReference w:type="first" r:id="rId12"/>
      <w:pgSz w:w="11900" w:h="16840"/>
      <w:pgMar w:top="426" w:right="1190" w:bottom="1135" w:left="1418" w:header="284" w:footer="2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B20" w:rsidRDefault="002E1B20">
      <w:pPr>
        <w:rPr>
          <w:rFonts w:ascii="Times New Roman" w:hAnsi="Times New Roman"/>
        </w:rPr>
      </w:pPr>
      <w:r>
        <w:rPr>
          <w:rFonts w:ascii="Times New Roman" w:hAnsi="Times New Roman"/>
        </w:rPr>
        <w:separator/>
      </w:r>
    </w:p>
  </w:endnote>
  <w:endnote w:type="continuationSeparator" w:id="1">
    <w:p w:rsidR="002E1B20" w:rsidRDefault="002E1B20">
      <w:pPr>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ndara">
    <w:panose1 w:val="020E0502030303020204"/>
    <w:charset w:val="EE"/>
    <w:family w:val="swiss"/>
    <w:pitch w:val="variable"/>
    <w:sig w:usb0="A00002EF" w:usb1="4000A44B" w:usb2="00000000" w:usb3="00000000" w:csb0="0000019F" w:csb1="00000000"/>
  </w:font>
  <w:font w:name="EUAlbertina">
    <w:altName w:val="Calibri"/>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Cula-Extr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E0" w:rsidRDefault="008B577A">
    <w:pPr>
      <w:pStyle w:val="Footer"/>
      <w:framePr w:wrap="around" w:vAnchor="text" w:hAnchor="margin" w:xAlign="right" w:y="1"/>
      <w:rPr>
        <w:rStyle w:val="PageNumber"/>
      </w:rPr>
    </w:pPr>
    <w:r>
      <w:rPr>
        <w:rStyle w:val="PageNumber"/>
      </w:rPr>
      <w:fldChar w:fldCharType="begin"/>
    </w:r>
    <w:r w:rsidR="00D458E0">
      <w:rPr>
        <w:rStyle w:val="PageNumber"/>
      </w:rPr>
      <w:instrText xml:space="preserve">PAGE  </w:instrText>
    </w:r>
    <w:r>
      <w:rPr>
        <w:rStyle w:val="PageNumber"/>
      </w:rPr>
      <w:fldChar w:fldCharType="end"/>
    </w:r>
  </w:p>
  <w:p w:rsidR="00D458E0" w:rsidRDefault="00D458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E0" w:rsidRDefault="008B577A">
    <w:pPr>
      <w:pStyle w:val="Footer"/>
      <w:framePr w:wrap="around" w:vAnchor="text" w:hAnchor="margin" w:xAlign="right" w:y="1"/>
      <w:rPr>
        <w:rStyle w:val="PageNumber"/>
        <w:rFonts w:ascii="Trebuchet MS" w:hAnsi="Trebuchet MS"/>
        <w:sz w:val="20"/>
      </w:rPr>
    </w:pPr>
    <w:r>
      <w:rPr>
        <w:rStyle w:val="PageNumber"/>
        <w:rFonts w:ascii="Trebuchet MS" w:hAnsi="Trebuchet MS"/>
        <w:sz w:val="20"/>
      </w:rPr>
      <w:fldChar w:fldCharType="begin"/>
    </w:r>
    <w:r w:rsidR="00D458E0">
      <w:rPr>
        <w:rStyle w:val="PageNumber"/>
        <w:rFonts w:ascii="Trebuchet MS" w:hAnsi="Trebuchet MS"/>
        <w:sz w:val="20"/>
      </w:rPr>
      <w:instrText xml:space="preserve">PAGE  </w:instrText>
    </w:r>
    <w:r>
      <w:rPr>
        <w:rStyle w:val="PageNumber"/>
        <w:rFonts w:ascii="Trebuchet MS" w:hAnsi="Trebuchet MS"/>
        <w:sz w:val="20"/>
      </w:rPr>
      <w:fldChar w:fldCharType="separate"/>
    </w:r>
    <w:r w:rsidR="002D1F30">
      <w:rPr>
        <w:rStyle w:val="PageNumber"/>
        <w:rFonts w:ascii="Trebuchet MS" w:hAnsi="Trebuchet MS"/>
        <w:noProof/>
        <w:sz w:val="20"/>
      </w:rPr>
      <w:t>8</w:t>
    </w:r>
    <w:r>
      <w:rPr>
        <w:rStyle w:val="PageNumber"/>
        <w:rFonts w:ascii="Trebuchet MS" w:hAnsi="Trebuchet MS"/>
        <w:sz w:val="20"/>
      </w:rPr>
      <w:fldChar w:fldCharType="end"/>
    </w:r>
  </w:p>
  <w:p w:rsidR="00D458E0" w:rsidRDefault="00D458E0" w:rsidP="007F33A6">
    <w:pPr>
      <w:pStyle w:val="Footer"/>
      <w:spacing w:after="0"/>
      <w:ind w:right="360"/>
      <w:rPr>
        <w:rFonts w:ascii="Trebuchet MS" w:hAnsi="Trebuchet MS" w:cs="Trebuchet MS"/>
        <w:b/>
        <w:bCs/>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9B" w:rsidRPr="00324BAA" w:rsidRDefault="00B34E9B" w:rsidP="00324BAA">
    <w:pPr>
      <w:pStyle w:val="Footer"/>
      <w:spacing w:after="0" w:line="240" w:lineRule="auto"/>
      <w:ind w:left="567"/>
      <w:rPr>
        <w:rFonts w:ascii="Trebuchet MS" w:hAnsi="Trebuchet MS" w:cs="Trebuchet MS"/>
        <w:sz w:val="18"/>
        <w:szCs w:val="18"/>
      </w:rPr>
    </w:pPr>
  </w:p>
  <w:p w:rsidR="00D458E0" w:rsidRPr="00697AA6" w:rsidRDefault="00D458E0" w:rsidP="00697AA6">
    <w:pPr>
      <w:pStyle w:val="Footer"/>
      <w:spacing w:after="0" w:line="240" w:lineRule="auto"/>
      <w:ind w:left="567"/>
      <w:rPr>
        <w:rFonts w:ascii="Trebuchet MS" w:hAnsi="Trebuchet MS" w:cs="Trebuchet MS"/>
        <w:b/>
        <w:b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B20" w:rsidRDefault="002E1B20">
      <w:pPr>
        <w:rPr>
          <w:rFonts w:ascii="Times New Roman" w:hAnsi="Times New Roman"/>
        </w:rPr>
      </w:pPr>
      <w:r>
        <w:rPr>
          <w:rFonts w:ascii="Times New Roman" w:hAnsi="Times New Roman"/>
        </w:rPr>
        <w:separator/>
      </w:r>
    </w:p>
  </w:footnote>
  <w:footnote w:type="continuationSeparator" w:id="1">
    <w:p w:rsidR="002E1B20" w:rsidRDefault="002E1B20">
      <w:pPr>
        <w:rPr>
          <w:rFonts w:ascii="Times New Roman" w:hAnsi="Times New Roman"/>
        </w:rPr>
      </w:pPr>
      <w:r>
        <w:rPr>
          <w:rFonts w:ascii="Times New Roman"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E0" w:rsidRDefault="00D458E0">
    <w:pPr>
      <w:pStyle w:val="Header"/>
      <w:rPr>
        <w:rFonts w:ascii="Times New Roman" w:hAnsi="Times New Roman"/>
        <w:noProof/>
        <w:lang w:val="en-GB" w:eastAsia="en-GB"/>
      </w:rPr>
    </w:pPr>
  </w:p>
  <w:p w:rsidR="00A33822" w:rsidRDefault="00A33822">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17" w:rsidRPr="00AA5C09" w:rsidRDefault="00E77117" w:rsidP="00E77117">
    <w:pPr>
      <w:tabs>
        <w:tab w:val="left" w:pos="330"/>
        <w:tab w:val="center" w:pos="4536"/>
        <w:tab w:val="right" w:pos="9356"/>
        <w:tab w:val="right" w:pos="9870"/>
      </w:tabs>
      <w:spacing w:after="0" w:line="240" w:lineRule="auto"/>
      <w:ind w:left="0"/>
      <w:jc w:val="left"/>
      <w:rPr>
        <w:rFonts w:eastAsia="Times New Roman" w:cs="Arial"/>
        <w:b/>
        <w:color w:val="333333"/>
        <w:sz w:val="16"/>
        <w:szCs w:val="16"/>
      </w:rPr>
    </w:pPr>
    <w:r w:rsidRPr="00145A3A">
      <w:rPr>
        <w:noProof/>
        <w:color w:val="002060"/>
        <w:sz w:val="24"/>
        <w:szCs w:val="24"/>
        <w:lang w:val="en-US"/>
      </w:rPr>
      <w:drawing>
        <wp:inline distT="0" distB="0" distL="0" distR="0">
          <wp:extent cx="5943600" cy="7004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70040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520A86"/>
    <w:multiLevelType w:val="hybridMultilevel"/>
    <w:tmpl w:val="B6206F10"/>
    <w:lvl w:ilvl="0" w:tplc="75FCBFEE">
      <w:start w:val="1"/>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
    <w:nsid w:val="07A33242"/>
    <w:multiLevelType w:val="hybridMultilevel"/>
    <w:tmpl w:val="99FC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F812A2"/>
    <w:multiLevelType w:val="hybridMultilevel"/>
    <w:tmpl w:val="2050215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nsid w:val="10973128"/>
    <w:multiLevelType w:val="hybridMultilevel"/>
    <w:tmpl w:val="28E4191C"/>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5">
    <w:nsid w:val="10C20C0C"/>
    <w:multiLevelType w:val="hybridMultilevel"/>
    <w:tmpl w:val="EE1655E4"/>
    <w:lvl w:ilvl="0" w:tplc="60A4F59C">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nsid w:val="141C1C90"/>
    <w:multiLevelType w:val="hybridMultilevel"/>
    <w:tmpl w:val="DA9AC818"/>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7">
    <w:nsid w:val="168D5747"/>
    <w:multiLevelType w:val="hybridMultilevel"/>
    <w:tmpl w:val="14E2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03154C"/>
    <w:multiLevelType w:val="hybridMultilevel"/>
    <w:tmpl w:val="1D5A595C"/>
    <w:lvl w:ilvl="0" w:tplc="070A652E">
      <w:numFmt w:val="bullet"/>
      <w:lvlText w:val=""/>
      <w:lvlJc w:val="left"/>
      <w:pPr>
        <w:tabs>
          <w:tab w:val="num" w:pos="2061"/>
        </w:tabs>
        <w:ind w:left="2061" w:hanging="360"/>
      </w:pPr>
      <w:rPr>
        <w:rFonts w:ascii="Symbol" w:eastAsia="MS Gothic" w:hAnsi="Symbol" w:cs="Calibri"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9">
    <w:nsid w:val="1A8B7AA0"/>
    <w:multiLevelType w:val="hybridMultilevel"/>
    <w:tmpl w:val="31D29708"/>
    <w:lvl w:ilvl="0" w:tplc="F640A0D2">
      <w:numFmt w:val="bullet"/>
      <w:lvlText w:val="-"/>
      <w:lvlJc w:val="left"/>
      <w:pPr>
        <w:ind w:left="720" w:hanging="360"/>
      </w:pPr>
      <w:rPr>
        <w:rFonts w:ascii="Trebuchet MS" w:eastAsia="MS Mincho" w:hAnsi="Trebuchet M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93F7B"/>
    <w:multiLevelType w:val="hybridMultilevel"/>
    <w:tmpl w:val="BBF4F3E4"/>
    <w:lvl w:ilvl="0" w:tplc="0809000B">
      <w:start w:val="1"/>
      <w:numFmt w:val="bullet"/>
      <w:lvlText w:val=""/>
      <w:lvlJc w:val="left"/>
      <w:pPr>
        <w:ind w:left="720" w:hanging="360"/>
      </w:pPr>
      <w:rPr>
        <w:rFonts w:ascii="Wingdings" w:hAnsi="Wingdings" w:hint="default"/>
      </w:rPr>
    </w:lvl>
    <w:lvl w:ilvl="1" w:tplc="ABA0B85A">
      <w:numFmt w:val="bullet"/>
      <w:lvlText w:val="-"/>
      <w:lvlJc w:val="left"/>
      <w:pPr>
        <w:ind w:left="1440" w:hanging="360"/>
      </w:pPr>
      <w:rPr>
        <w:rFonts w:ascii="Arial Narrow" w:eastAsia="MS Mincho" w:hAnsi="Arial Narrow"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A32815"/>
    <w:multiLevelType w:val="hybridMultilevel"/>
    <w:tmpl w:val="CC7EB118"/>
    <w:lvl w:ilvl="0" w:tplc="A40AAF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2409DF"/>
    <w:multiLevelType w:val="hybridMultilevel"/>
    <w:tmpl w:val="D5D87E4A"/>
    <w:lvl w:ilvl="0" w:tplc="C284FEBA">
      <w:start w:val="1"/>
      <w:numFmt w:val="decimal"/>
      <w:lvlText w:val="%1."/>
      <w:lvlJc w:val="left"/>
      <w:pPr>
        <w:ind w:left="2166"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nsid w:val="25DD4723"/>
    <w:multiLevelType w:val="hybridMultilevel"/>
    <w:tmpl w:val="5978D498"/>
    <w:lvl w:ilvl="0" w:tplc="6BB69F9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5D53A2"/>
    <w:multiLevelType w:val="hybridMultilevel"/>
    <w:tmpl w:val="89D0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323F8A"/>
    <w:multiLevelType w:val="hybridMultilevel"/>
    <w:tmpl w:val="197C0572"/>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FFB65D5"/>
    <w:multiLevelType w:val="hybridMultilevel"/>
    <w:tmpl w:val="1810920E"/>
    <w:lvl w:ilvl="0" w:tplc="F640A0D2">
      <w:numFmt w:val="bullet"/>
      <w:lvlText w:val="-"/>
      <w:lvlJc w:val="left"/>
      <w:pPr>
        <w:ind w:left="3240" w:hanging="360"/>
      </w:pPr>
      <w:rPr>
        <w:rFonts w:ascii="Trebuchet MS" w:eastAsia="MS Mincho" w:hAnsi="Trebuchet MS"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31222A9E"/>
    <w:multiLevelType w:val="hybridMultilevel"/>
    <w:tmpl w:val="7ABA9D9C"/>
    <w:lvl w:ilvl="0" w:tplc="579A22E2">
      <w:numFmt w:val="bullet"/>
      <w:lvlText w:val="-"/>
      <w:lvlJc w:val="left"/>
      <w:pPr>
        <w:ind w:left="2520" w:hanging="360"/>
      </w:pPr>
      <w:rPr>
        <w:rFonts w:ascii="Trebuchet MS" w:eastAsia="MS Mincho" w:hAnsi="Trebuchet MS"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33644614"/>
    <w:multiLevelType w:val="hybridMultilevel"/>
    <w:tmpl w:val="5EE6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1B716F"/>
    <w:multiLevelType w:val="singleLevel"/>
    <w:tmpl w:val="9B5EECDE"/>
    <w:lvl w:ilvl="0">
      <w:start w:val="1"/>
      <w:numFmt w:val="lowerLetter"/>
      <w:lvlText w:val="%1)"/>
      <w:legacy w:legacy="1" w:legacySpace="0" w:legacyIndent="345"/>
      <w:lvlJc w:val="left"/>
      <w:rPr>
        <w:rFonts w:ascii="Arial" w:hAnsi="Arial" w:cs="Arial" w:hint="default"/>
      </w:rPr>
    </w:lvl>
  </w:abstractNum>
  <w:abstractNum w:abstractNumId="20">
    <w:nsid w:val="36AB7353"/>
    <w:multiLevelType w:val="hybridMultilevel"/>
    <w:tmpl w:val="5FBC0E2E"/>
    <w:lvl w:ilvl="0" w:tplc="613A58A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F06A4D"/>
    <w:multiLevelType w:val="hybridMultilevel"/>
    <w:tmpl w:val="B9B2708A"/>
    <w:lvl w:ilvl="0" w:tplc="04180011">
      <w:start w:val="1"/>
      <w:numFmt w:val="decimal"/>
      <w:lvlText w:val="%1)"/>
      <w:lvlJc w:val="left"/>
      <w:pPr>
        <w:ind w:left="2421" w:hanging="360"/>
      </w:pPr>
    </w:lvl>
    <w:lvl w:ilvl="1" w:tplc="04180019" w:tentative="1">
      <w:start w:val="1"/>
      <w:numFmt w:val="lowerLetter"/>
      <w:lvlText w:val="%2."/>
      <w:lvlJc w:val="left"/>
      <w:pPr>
        <w:ind w:left="3141" w:hanging="360"/>
      </w:pPr>
    </w:lvl>
    <w:lvl w:ilvl="2" w:tplc="0418001B" w:tentative="1">
      <w:start w:val="1"/>
      <w:numFmt w:val="lowerRoman"/>
      <w:lvlText w:val="%3."/>
      <w:lvlJc w:val="right"/>
      <w:pPr>
        <w:ind w:left="3861" w:hanging="180"/>
      </w:pPr>
    </w:lvl>
    <w:lvl w:ilvl="3" w:tplc="0418000F" w:tentative="1">
      <w:start w:val="1"/>
      <w:numFmt w:val="decimal"/>
      <w:lvlText w:val="%4."/>
      <w:lvlJc w:val="left"/>
      <w:pPr>
        <w:ind w:left="4581" w:hanging="360"/>
      </w:pPr>
    </w:lvl>
    <w:lvl w:ilvl="4" w:tplc="04180019" w:tentative="1">
      <w:start w:val="1"/>
      <w:numFmt w:val="lowerLetter"/>
      <w:lvlText w:val="%5."/>
      <w:lvlJc w:val="left"/>
      <w:pPr>
        <w:ind w:left="5301" w:hanging="360"/>
      </w:pPr>
    </w:lvl>
    <w:lvl w:ilvl="5" w:tplc="0418001B" w:tentative="1">
      <w:start w:val="1"/>
      <w:numFmt w:val="lowerRoman"/>
      <w:lvlText w:val="%6."/>
      <w:lvlJc w:val="right"/>
      <w:pPr>
        <w:ind w:left="6021" w:hanging="180"/>
      </w:pPr>
    </w:lvl>
    <w:lvl w:ilvl="6" w:tplc="0418000F" w:tentative="1">
      <w:start w:val="1"/>
      <w:numFmt w:val="decimal"/>
      <w:lvlText w:val="%7."/>
      <w:lvlJc w:val="left"/>
      <w:pPr>
        <w:ind w:left="6741" w:hanging="360"/>
      </w:pPr>
    </w:lvl>
    <w:lvl w:ilvl="7" w:tplc="04180019" w:tentative="1">
      <w:start w:val="1"/>
      <w:numFmt w:val="lowerLetter"/>
      <w:lvlText w:val="%8."/>
      <w:lvlJc w:val="left"/>
      <w:pPr>
        <w:ind w:left="7461" w:hanging="360"/>
      </w:pPr>
    </w:lvl>
    <w:lvl w:ilvl="8" w:tplc="0418001B" w:tentative="1">
      <w:start w:val="1"/>
      <w:numFmt w:val="lowerRoman"/>
      <w:lvlText w:val="%9."/>
      <w:lvlJc w:val="right"/>
      <w:pPr>
        <w:ind w:left="8181" w:hanging="180"/>
      </w:pPr>
    </w:lvl>
  </w:abstractNum>
  <w:abstractNum w:abstractNumId="22">
    <w:nsid w:val="3BB70B43"/>
    <w:multiLevelType w:val="hybridMultilevel"/>
    <w:tmpl w:val="E3B89774"/>
    <w:lvl w:ilvl="0" w:tplc="C0007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45C5095"/>
    <w:multiLevelType w:val="hybridMultilevel"/>
    <w:tmpl w:val="BFB869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5F3B91"/>
    <w:multiLevelType w:val="hybridMultilevel"/>
    <w:tmpl w:val="0BDA02D4"/>
    <w:lvl w:ilvl="0" w:tplc="DC809E44">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5">
    <w:nsid w:val="46E51287"/>
    <w:multiLevelType w:val="multilevel"/>
    <w:tmpl w:val="DEE8180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6">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7">
    <w:nsid w:val="4839050A"/>
    <w:multiLevelType w:val="hybridMultilevel"/>
    <w:tmpl w:val="20281322"/>
    <w:lvl w:ilvl="0" w:tplc="0409000F">
      <w:start w:val="1"/>
      <w:numFmt w:val="decimal"/>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8">
    <w:nsid w:val="48F6379B"/>
    <w:multiLevelType w:val="hybridMultilevel"/>
    <w:tmpl w:val="A7969CF8"/>
    <w:lvl w:ilvl="0" w:tplc="2356F2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1C66DF"/>
    <w:multiLevelType w:val="singleLevel"/>
    <w:tmpl w:val="9B5EECDE"/>
    <w:lvl w:ilvl="0">
      <w:start w:val="1"/>
      <w:numFmt w:val="lowerLetter"/>
      <w:lvlText w:val="%1)"/>
      <w:legacy w:legacy="1" w:legacySpace="0" w:legacyIndent="345"/>
      <w:lvlJc w:val="left"/>
      <w:rPr>
        <w:rFonts w:ascii="Arial" w:hAnsi="Arial" w:cs="Arial" w:hint="default"/>
      </w:rPr>
    </w:lvl>
  </w:abstractNum>
  <w:abstractNum w:abstractNumId="30">
    <w:nsid w:val="4D1E4596"/>
    <w:multiLevelType w:val="hybridMultilevel"/>
    <w:tmpl w:val="95F093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nsid w:val="527939FD"/>
    <w:multiLevelType w:val="hybridMultilevel"/>
    <w:tmpl w:val="A72C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7D6197"/>
    <w:multiLevelType w:val="hybridMultilevel"/>
    <w:tmpl w:val="26BE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DC0C79"/>
    <w:multiLevelType w:val="hybridMultilevel"/>
    <w:tmpl w:val="7BEA42D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nsid w:val="5A9C6553"/>
    <w:multiLevelType w:val="hybridMultilevel"/>
    <w:tmpl w:val="2CE84FE4"/>
    <w:lvl w:ilvl="0" w:tplc="37C4EBF8">
      <w:numFmt w:val="bullet"/>
      <w:lvlText w:val="-"/>
      <w:lvlJc w:val="left"/>
      <w:pPr>
        <w:ind w:left="1080" w:hanging="360"/>
      </w:pPr>
      <w:rPr>
        <w:rFonts w:ascii="Trebuchet MS" w:eastAsia="MS Mincho"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7B12C2"/>
    <w:multiLevelType w:val="hybridMultilevel"/>
    <w:tmpl w:val="C4F2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A1393B"/>
    <w:multiLevelType w:val="hybridMultilevel"/>
    <w:tmpl w:val="234C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A35E92"/>
    <w:multiLevelType w:val="hybridMultilevel"/>
    <w:tmpl w:val="8FC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1E4916"/>
    <w:multiLevelType w:val="hybridMultilevel"/>
    <w:tmpl w:val="35E8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B4191D"/>
    <w:multiLevelType w:val="hybridMultilevel"/>
    <w:tmpl w:val="47D89794"/>
    <w:lvl w:ilvl="0" w:tplc="C2F0EF8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93746D"/>
    <w:multiLevelType w:val="hybridMultilevel"/>
    <w:tmpl w:val="ACA26DE2"/>
    <w:lvl w:ilvl="0" w:tplc="C5B6758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C6120C3"/>
    <w:multiLevelType w:val="hybridMultilevel"/>
    <w:tmpl w:val="2DC0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2B4C34"/>
    <w:multiLevelType w:val="hybridMultilevel"/>
    <w:tmpl w:val="5A26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3C4715"/>
    <w:multiLevelType w:val="hybridMultilevel"/>
    <w:tmpl w:val="E9F4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B15F51"/>
    <w:multiLevelType w:val="hybridMultilevel"/>
    <w:tmpl w:val="A6E644BA"/>
    <w:lvl w:ilvl="0" w:tplc="7DA6B210">
      <w:start w:val="3"/>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5">
    <w:nsid w:val="76893E39"/>
    <w:multiLevelType w:val="hybridMultilevel"/>
    <w:tmpl w:val="3BF237C2"/>
    <w:lvl w:ilvl="0" w:tplc="1F2E99D6">
      <w:start w:val="1"/>
      <w:numFmt w:val="decimal"/>
      <w:lvlText w:val="%1."/>
      <w:lvlJc w:val="left"/>
      <w:pPr>
        <w:tabs>
          <w:tab w:val="num" w:pos="2166"/>
        </w:tabs>
        <w:ind w:left="2166" w:hanging="465"/>
      </w:pPr>
      <w:rPr>
        <w:rFonts w:cs="Calibri" w:hint="default"/>
        <w:b/>
        <w:i w:val="0"/>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6">
    <w:nsid w:val="784B35CE"/>
    <w:multiLevelType w:val="hybridMultilevel"/>
    <w:tmpl w:val="C3041AC4"/>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7">
    <w:nsid w:val="7D4767F6"/>
    <w:multiLevelType w:val="hybridMultilevel"/>
    <w:tmpl w:val="2820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6E31C2"/>
    <w:multiLevelType w:val="hybridMultilevel"/>
    <w:tmpl w:val="2190F352"/>
    <w:lvl w:ilvl="0" w:tplc="977021B0">
      <w:start w:val="1"/>
      <w:numFmt w:val="decimal"/>
      <w:lvlText w:val="%1."/>
      <w:lvlJc w:val="left"/>
      <w:pPr>
        <w:ind w:left="2309"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0"/>
  </w:num>
  <w:num w:numId="2">
    <w:abstractNumId w:val="19"/>
  </w:num>
  <w:num w:numId="3">
    <w:abstractNumId w:val="11"/>
  </w:num>
  <w:num w:numId="4">
    <w:abstractNumId w:val="29"/>
  </w:num>
  <w:num w:numId="5">
    <w:abstractNumId w:val="28"/>
  </w:num>
  <w:num w:numId="6">
    <w:abstractNumId w:val="4"/>
  </w:num>
  <w:num w:numId="7">
    <w:abstractNumId w:val="40"/>
  </w:num>
  <w:num w:numId="8">
    <w:abstractNumId w:val="33"/>
  </w:num>
  <w:num w:numId="9">
    <w:abstractNumId w:val="20"/>
  </w:num>
  <w:num w:numId="10">
    <w:abstractNumId w:val="6"/>
  </w:num>
  <w:num w:numId="11">
    <w:abstractNumId w:val="45"/>
  </w:num>
  <w:num w:numId="12">
    <w:abstractNumId w:val="46"/>
  </w:num>
  <w:num w:numId="13">
    <w:abstractNumId w:val="8"/>
  </w:num>
  <w:num w:numId="14">
    <w:abstractNumId w:val="27"/>
  </w:num>
  <w:num w:numId="15">
    <w:abstractNumId w:val="30"/>
  </w:num>
  <w:num w:numId="16">
    <w:abstractNumId w:val="5"/>
  </w:num>
  <w:num w:numId="17">
    <w:abstractNumId w:val="22"/>
  </w:num>
  <w:num w:numId="18">
    <w:abstractNumId w:val="1"/>
  </w:num>
  <w:num w:numId="19">
    <w:abstractNumId w:val="44"/>
  </w:num>
  <w:num w:numId="20">
    <w:abstractNumId w:val="24"/>
  </w:num>
  <w:num w:numId="21">
    <w:abstractNumId w:val="3"/>
  </w:num>
  <w:num w:numId="22">
    <w:abstractNumId w:val="48"/>
  </w:num>
  <w:num w:numId="23">
    <w:abstractNumId w:val="12"/>
  </w:num>
  <w:num w:numId="24">
    <w:abstractNumId w:val="21"/>
  </w:num>
  <w:num w:numId="25">
    <w:abstractNumId w:val="34"/>
  </w:num>
  <w:num w:numId="26">
    <w:abstractNumId w:val="16"/>
  </w:num>
  <w:num w:numId="27">
    <w:abstractNumId w:val="17"/>
  </w:num>
  <w:num w:numId="28">
    <w:abstractNumId w:val="9"/>
  </w:num>
  <w:num w:numId="29">
    <w:abstractNumId w:val="13"/>
  </w:num>
  <w:num w:numId="30">
    <w:abstractNumId w:val="26"/>
  </w:num>
  <w:num w:numId="31">
    <w:abstractNumId w:val="25"/>
    <w:lvlOverride w:ilvl="0">
      <w:lvl w:ilvl="0">
        <w:start w:val="1"/>
        <w:numFmt w:val="decimal"/>
        <w:isLgl/>
        <w:lvlText w:val="Articolul %1"/>
        <w:lvlJc w:val="left"/>
        <w:pPr>
          <w:ind w:left="1134" w:hanging="1134"/>
        </w:pPr>
        <w:rPr>
          <w:rFonts w:ascii="Calibri" w:hAnsi="Calibri" w:hint="default"/>
          <w:b/>
          <w:i w:val="0"/>
          <w:color w:val="auto"/>
          <w:sz w:val="20"/>
        </w:rPr>
      </w:lvl>
    </w:lvlOverride>
    <w:lvlOverride w:ilvl="1">
      <w:lvl w:ilvl="1">
        <w:start w:val="1"/>
        <w:numFmt w:val="upperLetter"/>
        <w:lvlText w:val="%2."/>
        <w:lvlJc w:val="left"/>
        <w:pPr>
          <w:ind w:left="680" w:hanging="396"/>
        </w:pPr>
        <w:rPr>
          <w:rFonts w:ascii="Calibri" w:hAnsi="Calibri" w:hint="default"/>
          <w:sz w:val="20"/>
        </w:rPr>
      </w:lvl>
    </w:lvlOverride>
    <w:lvlOverride w:ilvl="2">
      <w:lvl w:ilvl="2">
        <w:start w:val="1"/>
        <w:numFmt w:val="decimal"/>
        <w:lvlText w:val="(%3)"/>
        <w:lvlJc w:val="left"/>
        <w:pPr>
          <w:ind w:left="680" w:hanging="396"/>
        </w:pPr>
        <w:rPr>
          <w:rFonts w:ascii="Calibri" w:hAnsi="Calibri" w:hint="default"/>
          <w:sz w:val="20"/>
        </w:rPr>
      </w:lvl>
    </w:lvlOverride>
    <w:lvlOverride w:ilvl="3">
      <w:lvl w:ilvl="3">
        <w:start w:val="1"/>
        <w:numFmt w:val="lowerLetter"/>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2">
    <w:abstractNumId w:val="43"/>
  </w:num>
  <w:num w:numId="33">
    <w:abstractNumId w:val="18"/>
  </w:num>
  <w:num w:numId="34">
    <w:abstractNumId w:val="31"/>
  </w:num>
  <w:num w:numId="35">
    <w:abstractNumId w:val="42"/>
  </w:num>
  <w:num w:numId="36">
    <w:abstractNumId w:val="35"/>
  </w:num>
  <w:num w:numId="37">
    <w:abstractNumId w:val="32"/>
  </w:num>
  <w:num w:numId="38">
    <w:abstractNumId w:val="41"/>
  </w:num>
  <w:num w:numId="39">
    <w:abstractNumId w:val="37"/>
  </w:num>
  <w:num w:numId="40">
    <w:abstractNumId w:val="23"/>
  </w:num>
  <w:num w:numId="41">
    <w:abstractNumId w:val="10"/>
  </w:num>
  <w:num w:numId="42">
    <w:abstractNumId w:val="15"/>
  </w:num>
  <w:num w:numId="43">
    <w:abstractNumId w:val="38"/>
  </w:num>
  <w:num w:numId="44">
    <w:abstractNumId w:val="7"/>
  </w:num>
  <w:num w:numId="45">
    <w:abstractNumId w:val="2"/>
  </w:num>
  <w:num w:numId="46">
    <w:abstractNumId w:val="47"/>
  </w:num>
  <w:num w:numId="47">
    <w:abstractNumId w:val="39"/>
  </w:num>
  <w:num w:numId="48">
    <w:abstractNumId w:val="36"/>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20"/>
  <w:hyphenationZone w:val="425"/>
  <w:doNotHyphenateCaps/>
  <w:characterSpacingControl w:val="doNotCompress"/>
  <w:hdrShapeDefaults>
    <o:shapedefaults v:ext="edit" spidmax="2050"/>
  </w:hdrShapeDefaults>
  <w:footnotePr>
    <w:footnote w:id="0"/>
    <w:footnote w:id="1"/>
  </w:footnotePr>
  <w:endnotePr>
    <w:endnote w:id="0"/>
    <w:endnote w:id="1"/>
  </w:endnotePr>
  <w:compat/>
  <w:rsids>
    <w:rsidRoot w:val="005E4BA8"/>
    <w:rsid w:val="00000194"/>
    <w:rsid w:val="00001C2E"/>
    <w:rsid w:val="00001F7B"/>
    <w:rsid w:val="000026EA"/>
    <w:rsid w:val="00003331"/>
    <w:rsid w:val="00003636"/>
    <w:rsid w:val="000051C3"/>
    <w:rsid w:val="00011D85"/>
    <w:rsid w:val="00015602"/>
    <w:rsid w:val="00020E05"/>
    <w:rsid w:val="00036696"/>
    <w:rsid w:val="00036BEB"/>
    <w:rsid w:val="0003757C"/>
    <w:rsid w:val="00042439"/>
    <w:rsid w:val="00043370"/>
    <w:rsid w:val="00044A25"/>
    <w:rsid w:val="00050666"/>
    <w:rsid w:val="000515A1"/>
    <w:rsid w:val="00051B3C"/>
    <w:rsid w:val="00053595"/>
    <w:rsid w:val="0005658C"/>
    <w:rsid w:val="000601C1"/>
    <w:rsid w:val="00071FD8"/>
    <w:rsid w:val="00073C15"/>
    <w:rsid w:val="000754E8"/>
    <w:rsid w:val="0007788E"/>
    <w:rsid w:val="00080C3B"/>
    <w:rsid w:val="00081F12"/>
    <w:rsid w:val="00081F30"/>
    <w:rsid w:val="00082D60"/>
    <w:rsid w:val="00084861"/>
    <w:rsid w:val="00084E23"/>
    <w:rsid w:val="000909EB"/>
    <w:rsid w:val="00093370"/>
    <w:rsid w:val="00096310"/>
    <w:rsid w:val="00096A34"/>
    <w:rsid w:val="00096EBD"/>
    <w:rsid w:val="000A0F60"/>
    <w:rsid w:val="000A21AD"/>
    <w:rsid w:val="000A6055"/>
    <w:rsid w:val="000B635A"/>
    <w:rsid w:val="000B75AF"/>
    <w:rsid w:val="000C0692"/>
    <w:rsid w:val="000C3A5B"/>
    <w:rsid w:val="000C4C6B"/>
    <w:rsid w:val="000C4FC8"/>
    <w:rsid w:val="000C68C8"/>
    <w:rsid w:val="000C78CC"/>
    <w:rsid w:val="000D30EC"/>
    <w:rsid w:val="000E1E4D"/>
    <w:rsid w:val="000E4B95"/>
    <w:rsid w:val="000E4DB8"/>
    <w:rsid w:val="000F68B4"/>
    <w:rsid w:val="000F6A62"/>
    <w:rsid w:val="00100511"/>
    <w:rsid w:val="001041BA"/>
    <w:rsid w:val="001049F6"/>
    <w:rsid w:val="00105AED"/>
    <w:rsid w:val="001062CC"/>
    <w:rsid w:val="00107C0A"/>
    <w:rsid w:val="001117A9"/>
    <w:rsid w:val="001140A0"/>
    <w:rsid w:val="00114D12"/>
    <w:rsid w:val="00117F06"/>
    <w:rsid w:val="0012046B"/>
    <w:rsid w:val="001236F5"/>
    <w:rsid w:val="00125E7E"/>
    <w:rsid w:val="001261BB"/>
    <w:rsid w:val="00127081"/>
    <w:rsid w:val="00131212"/>
    <w:rsid w:val="0013182F"/>
    <w:rsid w:val="00133ED4"/>
    <w:rsid w:val="0013437D"/>
    <w:rsid w:val="00137BF8"/>
    <w:rsid w:val="001400EA"/>
    <w:rsid w:val="001409E9"/>
    <w:rsid w:val="00141113"/>
    <w:rsid w:val="00144478"/>
    <w:rsid w:val="00145587"/>
    <w:rsid w:val="00145CA8"/>
    <w:rsid w:val="0015299B"/>
    <w:rsid w:val="00152F7E"/>
    <w:rsid w:val="00154764"/>
    <w:rsid w:val="001602BB"/>
    <w:rsid w:val="00161F82"/>
    <w:rsid w:val="00164029"/>
    <w:rsid w:val="001673FB"/>
    <w:rsid w:val="00177FAF"/>
    <w:rsid w:val="00180441"/>
    <w:rsid w:val="00180FD9"/>
    <w:rsid w:val="001849C1"/>
    <w:rsid w:val="00187496"/>
    <w:rsid w:val="00194E16"/>
    <w:rsid w:val="001960EB"/>
    <w:rsid w:val="001A36DB"/>
    <w:rsid w:val="001A5689"/>
    <w:rsid w:val="001A5BFA"/>
    <w:rsid w:val="001B4A5D"/>
    <w:rsid w:val="001B7996"/>
    <w:rsid w:val="001C18DB"/>
    <w:rsid w:val="001C4590"/>
    <w:rsid w:val="001C509E"/>
    <w:rsid w:val="001C7B49"/>
    <w:rsid w:val="001D391A"/>
    <w:rsid w:val="001D6310"/>
    <w:rsid w:val="001D674F"/>
    <w:rsid w:val="001D7404"/>
    <w:rsid w:val="001E0D54"/>
    <w:rsid w:val="001E3BE2"/>
    <w:rsid w:val="001E641B"/>
    <w:rsid w:val="001F2A12"/>
    <w:rsid w:val="001F38DB"/>
    <w:rsid w:val="001F52CE"/>
    <w:rsid w:val="001F7319"/>
    <w:rsid w:val="00204CB7"/>
    <w:rsid w:val="002052F8"/>
    <w:rsid w:val="00210F0E"/>
    <w:rsid w:val="00212997"/>
    <w:rsid w:val="00216D24"/>
    <w:rsid w:val="00220B1D"/>
    <w:rsid w:val="0022237C"/>
    <w:rsid w:val="002232A2"/>
    <w:rsid w:val="002323C0"/>
    <w:rsid w:val="00234C5B"/>
    <w:rsid w:val="00237B00"/>
    <w:rsid w:val="002404D7"/>
    <w:rsid w:val="00242D47"/>
    <w:rsid w:val="00244D01"/>
    <w:rsid w:val="002506A7"/>
    <w:rsid w:val="002510A0"/>
    <w:rsid w:val="00254447"/>
    <w:rsid w:val="00256A5A"/>
    <w:rsid w:val="002571F8"/>
    <w:rsid w:val="00260BEB"/>
    <w:rsid w:val="00272102"/>
    <w:rsid w:val="002757A9"/>
    <w:rsid w:val="00276BAC"/>
    <w:rsid w:val="0028529C"/>
    <w:rsid w:val="002912C8"/>
    <w:rsid w:val="00292B67"/>
    <w:rsid w:val="00295BB2"/>
    <w:rsid w:val="00295D3C"/>
    <w:rsid w:val="002971A6"/>
    <w:rsid w:val="002A008F"/>
    <w:rsid w:val="002A2936"/>
    <w:rsid w:val="002B1F66"/>
    <w:rsid w:val="002B23BE"/>
    <w:rsid w:val="002B2CC7"/>
    <w:rsid w:val="002B7696"/>
    <w:rsid w:val="002C0435"/>
    <w:rsid w:val="002C05EF"/>
    <w:rsid w:val="002C3B00"/>
    <w:rsid w:val="002D0217"/>
    <w:rsid w:val="002D076A"/>
    <w:rsid w:val="002D1F30"/>
    <w:rsid w:val="002D2AE6"/>
    <w:rsid w:val="002D75C3"/>
    <w:rsid w:val="002E1B20"/>
    <w:rsid w:val="002E4574"/>
    <w:rsid w:val="002E5BD9"/>
    <w:rsid w:val="002E6227"/>
    <w:rsid w:val="002F0247"/>
    <w:rsid w:val="002F0347"/>
    <w:rsid w:val="002F7979"/>
    <w:rsid w:val="003025BF"/>
    <w:rsid w:val="003051DA"/>
    <w:rsid w:val="00305BB3"/>
    <w:rsid w:val="00307488"/>
    <w:rsid w:val="003076DA"/>
    <w:rsid w:val="0031204E"/>
    <w:rsid w:val="00321531"/>
    <w:rsid w:val="0032405C"/>
    <w:rsid w:val="00324BAA"/>
    <w:rsid w:val="00324EBC"/>
    <w:rsid w:val="00325E6C"/>
    <w:rsid w:val="0034301E"/>
    <w:rsid w:val="003447C1"/>
    <w:rsid w:val="003453E0"/>
    <w:rsid w:val="003504D4"/>
    <w:rsid w:val="00351E84"/>
    <w:rsid w:val="0035419E"/>
    <w:rsid w:val="0035650E"/>
    <w:rsid w:val="0035722F"/>
    <w:rsid w:val="0036028D"/>
    <w:rsid w:val="00363843"/>
    <w:rsid w:val="00365528"/>
    <w:rsid w:val="00365C4A"/>
    <w:rsid w:val="0036629B"/>
    <w:rsid w:val="00382ECF"/>
    <w:rsid w:val="00384F77"/>
    <w:rsid w:val="00385883"/>
    <w:rsid w:val="00386BE5"/>
    <w:rsid w:val="00390EB6"/>
    <w:rsid w:val="00393A1B"/>
    <w:rsid w:val="00395C5A"/>
    <w:rsid w:val="00396397"/>
    <w:rsid w:val="003A081E"/>
    <w:rsid w:val="003A396A"/>
    <w:rsid w:val="003A5B10"/>
    <w:rsid w:val="003A62E8"/>
    <w:rsid w:val="003A6370"/>
    <w:rsid w:val="003A649F"/>
    <w:rsid w:val="003A6A20"/>
    <w:rsid w:val="003B0C7A"/>
    <w:rsid w:val="003B42DC"/>
    <w:rsid w:val="003D1F55"/>
    <w:rsid w:val="003D2E92"/>
    <w:rsid w:val="003D4FCD"/>
    <w:rsid w:val="003E148A"/>
    <w:rsid w:val="003E23CD"/>
    <w:rsid w:val="003E5F74"/>
    <w:rsid w:val="003F0DE6"/>
    <w:rsid w:val="003F34D3"/>
    <w:rsid w:val="003F6AA1"/>
    <w:rsid w:val="004020ED"/>
    <w:rsid w:val="004021DD"/>
    <w:rsid w:val="00403EA3"/>
    <w:rsid w:val="00405253"/>
    <w:rsid w:val="0040768E"/>
    <w:rsid w:val="0041290A"/>
    <w:rsid w:val="004135C5"/>
    <w:rsid w:val="00414EB0"/>
    <w:rsid w:val="00423A16"/>
    <w:rsid w:val="00430127"/>
    <w:rsid w:val="0043035D"/>
    <w:rsid w:val="00430405"/>
    <w:rsid w:val="004375CE"/>
    <w:rsid w:val="004412FA"/>
    <w:rsid w:val="00442CB7"/>
    <w:rsid w:val="00447D01"/>
    <w:rsid w:val="00451B13"/>
    <w:rsid w:val="00462127"/>
    <w:rsid w:val="004630BF"/>
    <w:rsid w:val="00467753"/>
    <w:rsid w:val="00471A0A"/>
    <w:rsid w:val="00472F62"/>
    <w:rsid w:val="00477C9F"/>
    <w:rsid w:val="00481C2A"/>
    <w:rsid w:val="00486800"/>
    <w:rsid w:val="00492742"/>
    <w:rsid w:val="00493679"/>
    <w:rsid w:val="004953FC"/>
    <w:rsid w:val="00496708"/>
    <w:rsid w:val="004975BA"/>
    <w:rsid w:val="004A0025"/>
    <w:rsid w:val="004A0755"/>
    <w:rsid w:val="004A3437"/>
    <w:rsid w:val="004A6C46"/>
    <w:rsid w:val="004A7BC5"/>
    <w:rsid w:val="004A7F13"/>
    <w:rsid w:val="004B1900"/>
    <w:rsid w:val="004B1BF4"/>
    <w:rsid w:val="004B23DC"/>
    <w:rsid w:val="004B6015"/>
    <w:rsid w:val="004B62F4"/>
    <w:rsid w:val="004B7213"/>
    <w:rsid w:val="004C2647"/>
    <w:rsid w:val="004C6AB2"/>
    <w:rsid w:val="004C7CC5"/>
    <w:rsid w:val="004D7150"/>
    <w:rsid w:val="004E7E95"/>
    <w:rsid w:val="004F3CEB"/>
    <w:rsid w:val="004F3F2F"/>
    <w:rsid w:val="004F5880"/>
    <w:rsid w:val="0050589F"/>
    <w:rsid w:val="0050728C"/>
    <w:rsid w:val="00515A29"/>
    <w:rsid w:val="00515C7E"/>
    <w:rsid w:val="005211B1"/>
    <w:rsid w:val="00521F9A"/>
    <w:rsid w:val="00526EEF"/>
    <w:rsid w:val="00532F90"/>
    <w:rsid w:val="005407CB"/>
    <w:rsid w:val="00543777"/>
    <w:rsid w:val="0054780C"/>
    <w:rsid w:val="0055469D"/>
    <w:rsid w:val="0055646A"/>
    <w:rsid w:val="005578FD"/>
    <w:rsid w:val="005617B3"/>
    <w:rsid w:val="005627C0"/>
    <w:rsid w:val="005634DE"/>
    <w:rsid w:val="00563B40"/>
    <w:rsid w:val="00563CA9"/>
    <w:rsid w:val="0056485F"/>
    <w:rsid w:val="00571C2B"/>
    <w:rsid w:val="005726C1"/>
    <w:rsid w:val="00575FE5"/>
    <w:rsid w:val="00581BC5"/>
    <w:rsid w:val="00582C1E"/>
    <w:rsid w:val="005A12A5"/>
    <w:rsid w:val="005A1779"/>
    <w:rsid w:val="005A250A"/>
    <w:rsid w:val="005A2EFE"/>
    <w:rsid w:val="005A3382"/>
    <w:rsid w:val="005A46DF"/>
    <w:rsid w:val="005A6D9A"/>
    <w:rsid w:val="005B1E2F"/>
    <w:rsid w:val="005B2B4D"/>
    <w:rsid w:val="005B4ABF"/>
    <w:rsid w:val="005B5D3F"/>
    <w:rsid w:val="005B697F"/>
    <w:rsid w:val="005C1930"/>
    <w:rsid w:val="005C2F8F"/>
    <w:rsid w:val="005C313B"/>
    <w:rsid w:val="005C6198"/>
    <w:rsid w:val="005D00AE"/>
    <w:rsid w:val="005D15DD"/>
    <w:rsid w:val="005D276B"/>
    <w:rsid w:val="005D4BEA"/>
    <w:rsid w:val="005D696A"/>
    <w:rsid w:val="005E0675"/>
    <w:rsid w:val="005E1C50"/>
    <w:rsid w:val="005E1EE6"/>
    <w:rsid w:val="005E4BA8"/>
    <w:rsid w:val="005E73C3"/>
    <w:rsid w:val="005F7838"/>
    <w:rsid w:val="005F7F5C"/>
    <w:rsid w:val="00601B30"/>
    <w:rsid w:val="006046B5"/>
    <w:rsid w:val="00604BA4"/>
    <w:rsid w:val="006051A0"/>
    <w:rsid w:val="00606BF9"/>
    <w:rsid w:val="00611A31"/>
    <w:rsid w:val="00612DA9"/>
    <w:rsid w:val="00614F29"/>
    <w:rsid w:val="00616686"/>
    <w:rsid w:val="006166B9"/>
    <w:rsid w:val="006166E1"/>
    <w:rsid w:val="00616867"/>
    <w:rsid w:val="006173A8"/>
    <w:rsid w:val="00621E1A"/>
    <w:rsid w:val="006243CF"/>
    <w:rsid w:val="006244B8"/>
    <w:rsid w:val="006344D2"/>
    <w:rsid w:val="00634A69"/>
    <w:rsid w:val="00635CE5"/>
    <w:rsid w:val="0064045B"/>
    <w:rsid w:val="00640920"/>
    <w:rsid w:val="006440B6"/>
    <w:rsid w:val="0064489D"/>
    <w:rsid w:val="0064671E"/>
    <w:rsid w:val="00651816"/>
    <w:rsid w:val="006525DD"/>
    <w:rsid w:val="00652BFD"/>
    <w:rsid w:val="0065622E"/>
    <w:rsid w:val="0066385D"/>
    <w:rsid w:val="00663CFD"/>
    <w:rsid w:val="006670F2"/>
    <w:rsid w:val="00672A8E"/>
    <w:rsid w:val="00673F4C"/>
    <w:rsid w:val="00675270"/>
    <w:rsid w:val="00677A69"/>
    <w:rsid w:val="00683E81"/>
    <w:rsid w:val="00691E76"/>
    <w:rsid w:val="006956C1"/>
    <w:rsid w:val="0069669B"/>
    <w:rsid w:val="00697AA6"/>
    <w:rsid w:val="006A441A"/>
    <w:rsid w:val="006A5F6A"/>
    <w:rsid w:val="006A6977"/>
    <w:rsid w:val="006A7B73"/>
    <w:rsid w:val="006B087F"/>
    <w:rsid w:val="006B2771"/>
    <w:rsid w:val="006B2F5C"/>
    <w:rsid w:val="006B70C0"/>
    <w:rsid w:val="006C0B4F"/>
    <w:rsid w:val="006C211B"/>
    <w:rsid w:val="006C3325"/>
    <w:rsid w:val="006D6844"/>
    <w:rsid w:val="006D72B8"/>
    <w:rsid w:val="006D7A5F"/>
    <w:rsid w:val="006D7EBF"/>
    <w:rsid w:val="006F4645"/>
    <w:rsid w:val="006F579F"/>
    <w:rsid w:val="00700942"/>
    <w:rsid w:val="00702D7D"/>
    <w:rsid w:val="007031F3"/>
    <w:rsid w:val="007036C8"/>
    <w:rsid w:val="00713256"/>
    <w:rsid w:val="00714884"/>
    <w:rsid w:val="0071507D"/>
    <w:rsid w:val="007156CF"/>
    <w:rsid w:val="00715E38"/>
    <w:rsid w:val="0071601F"/>
    <w:rsid w:val="0071798F"/>
    <w:rsid w:val="00721EE6"/>
    <w:rsid w:val="00722C27"/>
    <w:rsid w:val="00725F55"/>
    <w:rsid w:val="00732704"/>
    <w:rsid w:val="00737594"/>
    <w:rsid w:val="00737C74"/>
    <w:rsid w:val="00737E6D"/>
    <w:rsid w:val="00740619"/>
    <w:rsid w:val="00741D4D"/>
    <w:rsid w:val="00741E48"/>
    <w:rsid w:val="00746DBC"/>
    <w:rsid w:val="00751348"/>
    <w:rsid w:val="00756EA1"/>
    <w:rsid w:val="00756F29"/>
    <w:rsid w:val="0075757D"/>
    <w:rsid w:val="00760FBE"/>
    <w:rsid w:val="0076186B"/>
    <w:rsid w:val="00764CF0"/>
    <w:rsid w:val="00765C4A"/>
    <w:rsid w:val="0076658D"/>
    <w:rsid w:val="00767E3B"/>
    <w:rsid w:val="007704EA"/>
    <w:rsid w:val="00771475"/>
    <w:rsid w:val="007726DC"/>
    <w:rsid w:val="00772913"/>
    <w:rsid w:val="007750BB"/>
    <w:rsid w:val="00775669"/>
    <w:rsid w:val="00775872"/>
    <w:rsid w:val="00781D4C"/>
    <w:rsid w:val="00783C0D"/>
    <w:rsid w:val="00786F8F"/>
    <w:rsid w:val="00787D7E"/>
    <w:rsid w:val="0079008B"/>
    <w:rsid w:val="00790D24"/>
    <w:rsid w:val="00793E3C"/>
    <w:rsid w:val="00797B65"/>
    <w:rsid w:val="007A169C"/>
    <w:rsid w:val="007A47B4"/>
    <w:rsid w:val="007A49AC"/>
    <w:rsid w:val="007A6F56"/>
    <w:rsid w:val="007A7CDC"/>
    <w:rsid w:val="007B1AC4"/>
    <w:rsid w:val="007B3D7A"/>
    <w:rsid w:val="007B5789"/>
    <w:rsid w:val="007B6B03"/>
    <w:rsid w:val="007B7F31"/>
    <w:rsid w:val="007C4B9E"/>
    <w:rsid w:val="007C5E41"/>
    <w:rsid w:val="007C7340"/>
    <w:rsid w:val="007E16CF"/>
    <w:rsid w:val="007E1B49"/>
    <w:rsid w:val="007E1E2B"/>
    <w:rsid w:val="007E1EBA"/>
    <w:rsid w:val="007E2386"/>
    <w:rsid w:val="007E3318"/>
    <w:rsid w:val="007E3BE2"/>
    <w:rsid w:val="007E3F3C"/>
    <w:rsid w:val="007E50A2"/>
    <w:rsid w:val="007F00C2"/>
    <w:rsid w:val="007F33A6"/>
    <w:rsid w:val="00801C90"/>
    <w:rsid w:val="008022BA"/>
    <w:rsid w:val="0080388E"/>
    <w:rsid w:val="00805324"/>
    <w:rsid w:val="008055B0"/>
    <w:rsid w:val="008066CD"/>
    <w:rsid w:val="00810828"/>
    <w:rsid w:val="0083236D"/>
    <w:rsid w:val="00835D7A"/>
    <w:rsid w:val="00837D70"/>
    <w:rsid w:val="00850F5C"/>
    <w:rsid w:val="008536FC"/>
    <w:rsid w:val="00853909"/>
    <w:rsid w:val="0085751B"/>
    <w:rsid w:val="008632AD"/>
    <w:rsid w:val="00866C6C"/>
    <w:rsid w:val="008700C3"/>
    <w:rsid w:val="00876574"/>
    <w:rsid w:val="008767F2"/>
    <w:rsid w:val="0088288B"/>
    <w:rsid w:val="00884BC8"/>
    <w:rsid w:val="00885142"/>
    <w:rsid w:val="00885226"/>
    <w:rsid w:val="0088550E"/>
    <w:rsid w:val="008862CE"/>
    <w:rsid w:val="00891645"/>
    <w:rsid w:val="0089240F"/>
    <w:rsid w:val="008950C3"/>
    <w:rsid w:val="008A5798"/>
    <w:rsid w:val="008A6264"/>
    <w:rsid w:val="008B059C"/>
    <w:rsid w:val="008B0A16"/>
    <w:rsid w:val="008B577A"/>
    <w:rsid w:val="008C25E9"/>
    <w:rsid w:val="008C60B5"/>
    <w:rsid w:val="008D187E"/>
    <w:rsid w:val="008D2CD4"/>
    <w:rsid w:val="008E0971"/>
    <w:rsid w:val="008E0D3F"/>
    <w:rsid w:val="008E623C"/>
    <w:rsid w:val="008F46F6"/>
    <w:rsid w:val="008F4775"/>
    <w:rsid w:val="00906792"/>
    <w:rsid w:val="0091145E"/>
    <w:rsid w:val="009145B5"/>
    <w:rsid w:val="009223C7"/>
    <w:rsid w:val="00922A73"/>
    <w:rsid w:val="009230B9"/>
    <w:rsid w:val="00924B01"/>
    <w:rsid w:val="009251AE"/>
    <w:rsid w:val="00932B9E"/>
    <w:rsid w:val="00933602"/>
    <w:rsid w:val="009404BC"/>
    <w:rsid w:val="00941295"/>
    <w:rsid w:val="00941BF8"/>
    <w:rsid w:val="00945F80"/>
    <w:rsid w:val="00954554"/>
    <w:rsid w:val="0095799E"/>
    <w:rsid w:val="009605AE"/>
    <w:rsid w:val="009636AF"/>
    <w:rsid w:val="009641B8"/>
    <w:rsid w:val="009655DA"/>
    <w:rsid w:val="00966F1D"/>
    <w:rsid w:val="00981378"/>
    <w:rsid w:val="00982BDC"/>
    <w:rsid w:val="00987C35"/>
    <w:rsid w:val="009907D1"/>
    <w:rsid w:val="00990D53"/>
    <w:rsid w:val="00994EC2"/>
    <w:rsid w:val="009A15D9"/>
    <w:rsid w:val="009A31CE"/>
    <w:rsid w:val="009A4F89"/>
    <w:rsid w:val="009A693F"/>
    <w:rsid w:val="009A701F"/>
    <w:rsid w:val="009A7D77"/>
    <w:rsid w:val="009A7FA9"/>
    <w:rsid w:val="009B6830"/>
    <w:rsid w:val="009C1762"/>
    <w:rsid w:val="009C3EE0"/>
    <w:rsid w:val="009C74CB"/>
    <w:rsid w:val="009C7B93"/>
    <w:rsid w:val="009D1DF9"/>
    <w:rsid w:val="009E02CD"/>
    <w:rsid w:val="009E1B44"/>
    <w:rsid w:val="009E3658"/>
    <w:rsid w:val="009E4C72"/>
    <w:rsid w:val="009F1B94"/>
    <w:rsid w:val="009F7A57"/>
    <w:rsid w:val="00A0033D"/>
    <w:rsid w:val="00A00E73"/>
    <w:rsid w:val="00A05F06"/>
    <w:rsid w:val="00A10864"/>
    <w:rsid w:val="00A1378C"/>
    <w:rsid w:val="00A16A90"/>
    <w:rsid w:val="00A17067"/>
    <w:rsid w:val="00A1792B"/>
    <w:rsid w:val="00A2211A"/>
    <w:rsid w:val="00A23144"/>
    <w:rsid w:val="00A25962"/>
    <w:rsid w:val="00A300EE"/>
    <w:rsid w:val="00A33822"/>
    <w:rsid w:val="00A364A3"/>
    <w:rsid w:val="00A36608"/>
    <w:rsid w:val="00A404FF"/>
    <w:rsid w:val="00A40BD2"/>
    <w:rsid w:val="00A432F2"/>
    <w:rsid w:val="00A4482C"/>
    <w:rsid w:val="00A45C33"/>
    <w:rsid w:val="00A46746"/>
    <w:rsid w:val="00A50C06"/>
    <w:rsid w:val="00A60F6D"/>
    <w:rsid w:val="00A631E9"/>
    <w:rsid w:val="00A65070"/>
    <w:rsid w:val="00A65962"/>
    <w:rsid w:val="00A67194"/>
    <w:rsid w:val="00A71AF2"/>
    <w:rsid w:val="00A721B6"/>
    <w:rsid w:val="00A744D8"/>
    <w:rsid w:val="00A75437"/>
    <w:rsid w:val="00A76520"/>
    <w:rsid w:val="00A8001C"/>
    <w:rsid w:val="00A801C0"/>
    <w:rsid w:val="00A81682"/>
    <w:rsid w:val="00A84E57"/>
    <w:rsid w:val="00A8563F"/>
    <w:rsid w:val="00A862D1"/>
    <w:rsid w:val="00A87D34"/>
    <w:rsid w:val="00A964F8"/>
    <w:rsid w:val="00AA1DAF"/>
    <w:rsid w:val="00AA3109"/>
    <w:rsid w:val="00AA3D3D"/>
    <w:rsid w:val="00AA447E"/>
    <w:rsid w:val="00AA5C09"/>
    <w:rsid w:val="00AB0C26"/>
    <w:rsid w:val="00AB0C32"/>
    <w:rsid w:val="00AB1146"/>
    <w:rsid w:val="00AB2B1C"/>
    <w:rsid w:val="00AB7614"/>
    <w:rsid w:val="00AC363A"/>
    <w:rsid w:val="00AC6377"/>
    <w:rsid w:val="00AC6F10"/>
    <w:rsid w:val="00AD296F"/>
    <w:rsid w:val="00AD4B6B"/>
    <w:rsid w:val="00AD726B"/>
    <w:rsid w:val="00AE038C"/>
    <w:rsid w:val="00AE0F37"/>
    <w:rsid w:val="00AE30D2"/>
    <w:rsid w:val="00AE36C7"/>
    <w:rsid w:val="00AE4F7E"/>
    <w:rsid w:val="00AE7720"/>
    <w:rsid w:val="00AE773E"/>
    <w:rsid w:val="00AF0E87"/>
    <w:rsid w:val="00AF3D50"/>
    <w:rsid w:val="00AF69B4"/>
    <w:rsid w:val="00B0425D"/>
    <w:rsid w:val="00B045BD"/>
    <w:rsid w:val="00B05FBD"/>
    <w:rsid w:val="00B0661D"/>
    <w:rsid w:val="00B06FBA"/>
    <w:rsid w:val="00B0707B"/>
    <w:rsid w:val="00B11D39"/>
    <w:rsid w:val="00B1463E"/>
    <w:rsid w:val="00B2083B"/>
    <w:rsid w:val="00B22858"/>
    <w:rsid w:val="00B31BC2"/>
    <w:rsid w:val="00B34E9B"/>
    <w:rsid w:val="00B37EA5"/>
    <w:rsid w:val="00B45A2F"/>
    <w:rsid w:val="00B45CA9"/>
    <w:rsid w:val="00B477FE"/>
    <w:rsid w:val="00B50892"/>
    <w:rsid w:val="00B52867"/>
    <w:rsid w:val="00B56702"/>
    <w:rsid w:val="00B608D5"/>
    <w:rsid w:val="00B671F4"/>
    <w:rsid w:val="00B6739E"/>
    <w:rsid w:val="00B72001"/>
    <w:rsid w:val="00B724A2"/>
    <w:rsid w:val="00B751B1"/>
    <w:rsid w:val="00B7754B"/>
    <w:rsid w:val="00B8069F"/>
    <w:rsid w:val="00B83EF7"/>
    <w:rsid w:val="00B84788"/>
    <w:rsid w:val="00B86B29"/>
    <w:rsid w:val="00B94D8A"/>
    <w:rsid w:val="00BA254F"/>
    <w:rsid w:val="00BA2FA3"/>
    <w:rsid w:val="00BA416E"/>
    <w:rsid w:val="00BA58C1"/>
    <w:rsid w:val="00BA5CC2"/>
    <w:rsid w:val="00BA7CDD"/>
    <w:rsid w:val="00BB174C"/>
    <w:rsid w:val="00BB27BF"/>
    <w:rsid w:val="00BB3BCD"/>
    <w:rsid w:val="00BB58DF"/>
    <w:rsid w:val="00BC5F96"/>
    <w:rsid w:val="00BC6E71"/>
    <w:rsid w:val="00BD0041"/>
    <w:rsid w:val="00BD085A"/>
    <w:rsid w:val="00BD0A54"/>
    <w:rsid w:val="00BD22F3"/>
    <w:rsid w:val="00BD4008"/>
    <w:rsid w:val="00BD5512"/>
    <w:rsid w:val="00BD57E4"/>
    <w:rsid w:val="00BD749A"/>
    <w:rsid w:val="00BE0703"/>
    <w:rsid w:val="00BE534C"/>
    <w:rsid w:val="00BE637F"/>
    <w:rsid w:val="00BF39F7"/>
    <w:rsid w:val="00BF5C9A"/>
    <w:rsid w:val="00C024EE"/>
    <w:rsid w:val="00C1440E"/>
    <w:rsid w:val="00C174FE"/>
    <w:rsid w:val="00C219E4"/>
    <w:rsid w:val="00C22F89"/>
    <w:rsid w:val="00C24563"/>
    <w:rsid w:val="00C33B1F"/>
    <w:rsid w:val="00C4106F"/>
    <w:rsid w:val="00C4217D"/>
    <w:rsid w:val="00C443D9"/>
    <w:rsid w:val="00C47B81"/>
    <w:rsid w:val="00C5042F"/>
    <w:rsid w:val="00C50AF0"/>
    <w:rsid w:val="00C519CF"/>
    <w:rsid w:val="00C54E87"/>
    <w:rsid w:val="00C60610"/>
    <w:rsid w:val="00C6130B"/>
    <w:rsid w:val="00C653A6"/>
    <w:rsid w:val="00C6685B"/>
    <w:rsid w:val="00C827B3"/>
    <w:rsid w:val="00C8316C"/>
    <w:rsid w:val="00C8440F"/>
    <w:rsid w:val="00C92A40"/>
    <w:rsid w:val="00C931AC"/>
    <w:rsid w:val="00C9483D"/>
    <w:rsid w:val="00C9728C"/>
    <w:rsid w:val="00CA0126"/>
    <w:rsid w:val="00CA0FF0"/>
    <w:rsid w:val="00CA254B"/>
    <w:rsid w:val="00CA7B25"/>
    <w:rsid w:val="00CB0057"/>
    <w:rsid w:val="00CB21C7"/>
    <w:rsid w:val="00CB2EE0"/>
    <w:rsid w:val="00CB3D90"/>
    <w:rsid w:val="00CB536F"/>
    <w:rsid w:val="00CC0BBE"/>
    <w:rsid w:val="00CC0E38"/>
    <w:rsid w:val="00CC20A7"/>
    <w:rsid w:val="00CC24BE"/>
    <w:rsid w:val="00CC5264"/>
    <w:rsid w:val="00CC550B"/>
    <w:rsid w:val="00CC7BD8"/>
    <w:rsid w:val="00CD092B"/>
    <w:rsid w:val="00CD4ADA"/>
    <w:rsid w:val="00CD5797"/>
    <w:rsid w:val="00CD57E2"/>
    <w:rsid w:val="00CE13B3"/>
    <w:rsid w:val="00CE341B"/>
    <w:rsid w:val="00CF008B"/>
    <w:rsid w:val="00CF46A5"/>
    <w:rsid w:val="00CF4B24"/>
    <w:rsid w:val="00CF657B"/>
    <w:rsid w:val="00CF7F25"/>
    <w:rsid w:val="00D03962"/>
    <w:rsid w:val="00D03B21"/>
    <w:rsid w:val="00D12674"/>
    <w:rsid w:val="00D162DA"/>
    <w:rsid w:val="00D2188A"/>
    <w:rsid w:val="00D230CB"/>
    <w:rsid w:val="00D23440"/>
    <w:rsid w:val="00D27DC5"/>
    <w:rsid w:val="00D35073"/>
    <w:rsid w:val="00D379F9"/>
    <w:rsid w:val="00D4108B"/>
    <w:rsid w:val="00D458E0"/>
    <w:rsid w:val="00D47CEA"/>
    <w:rsid w:val="00D544C2"/>
    <w:rsid w:val="00D6015A"/>
    <w:rsid w:val="00D62351"/>
    <w:rsid w:val="00D626F3"/>
    <w:rsid w:val="00D711CB"/>
    <w:rsid w:val="00D712E3"/>
    <w:rsid w:val="00D738C0"/>
    <w:rsid w:val="00D76A2B"/>
    <w:rsid w:val="00D76BB0"/>
    <w:rsid w:val="00D80775"/>
    <w:rsid w:val="00D807E0"/>
    <w:rsid w:val="00D80C43"/>
    <w:rsid w:val="00D84675"/>
    <w:rsid w:val="00D87E0B"/>
    <w:rsid w:val="00D936BC"/>
    <w:rsid w:val="00D95426"/>
    <w:rsid w:val="00D959E2"/>
    <w:rsid w:val="00D95AF0"/>
    <w:rsid w:val="00DA00DD"/>
    <w:rsid w:val="00DA3DF4"/>
    <w:rsid w:val="00DA7DCA"/>
    <w:rsid w:val="00DB1DCC"/>
    <w:rsid w:val="00DB23C2"/>
    <w:rsid w:val="00DB3804"/>
    <w:rsid w:val="00DC5ED2"/>
    <w:rsid w:val="00DC6311"/>
    <w:rsid w:val="00DC68C8"/>
    <w:rsid w:val="00DD1AC4"/>
    <w:rsid w:val="00DD3169"/>
    <w:rsid w:val="00DD373C"/>
    <w:rsid w:val="00DE0C7E"/>
    <w:rsid w:val="00DE0C9E"/>
    <w:rsid w:val="00DE1BBA"/>
    <w:rsid w:val="00DE4636"/>
    <w:rsid w:val="00DE5A05"/>
    <w:rsid w:val="00DE61E9"/>
    <w:rsid w:val="00DF464E"/>
    <w:rsid w:val="00DF7652"/>
    <w:rsid w:val="00E023C9"/>
    <w:rsid w:val="00E05227"/>
    <w:rsid w:val="00E102D6"/>
    <w:rsid w:val="00E12F36"/>
    <w:rsid w:val="00E2168D"/>
    <w:rsid w:val="00E21AD5"/>
    <w:rsid w:val="00E23DA8"/>
    <w:rsid w:val="00E363A5"/>
    <w:rsid w:val="00E45EDF"/>
    <w:rsid w:val="00E47B45"/>
    <w:rsid w:val="00E500B4"/>
    <w:rsid w:val="00E51AE1"/>
    <w:rsid w:val="00E53142"/>
    <w:rsid w:val="00E53774"/>
    <w:rsid w:val="00E56A70"/>
    <w:rsid w:val="00E6243A"/>
    <w:rsid w:val="00E63180"/>
    <w:rsid w:val="00E64AD7"/>
    <w:rsid w:val="00E6571F"/>
    <w:rsid w:val="00E66C14"/>
    <w:rsid w:val="00E705BF"/>
    <w:rsid w:val="00E71FA8"/>
    <w:rsid w:val="00E730F3"/>
    <w:rsid w:val="00E739D7"/>
    <w:rsid w:val="00E74FE6"/>
    <w:rsid w:val="00E752B3"/>
    <w:rsid w:val="00E77117"/>
    <w:rsid w:val="00E80292"/>
    <w:rsid w:val="00E81E6B"/>
    <w:rsid w:val="00E839D3"/>
    <w:rsid w:val="00E86CD8"/>
    <w:rsid w:val="00E90FCF"/>
    <w:rsid w:val="00E9228C"/>
    <w:rsid w:val="00E945B4"/>
    <w:rsid w:val="00E955AD"/>
    <w:rsid w:val="00E96429"/>
    <w:rsid w:val="00E96ED3"/>
    <w:rsid w:val="00E96F23"/>
    <w:rsid w:val="00E970F0"/>
    <w:rsid w:val="00EA02CE"/>
    <w:rsid w:val="00EA122E"/>
    <w:rsid w:val="00EA12FB"/>
    <w:rsid w:val="00EA6933"/>
    <w:rsid w:val="00EB0F07"/>
    <w:rsid w:val="00EB1EC7"/>
    <w:rsid w:val="00EB2361"/>
    <w:rsid w:val="00EB2E35"/>
    <w:rsid w:val="00EB351E"/>
    <w:rsid w:val="00EB3ACF"/>
    <w:rsid w:val="00EC2224"/>
    <w:rsid w:val="00EC2E0C"/>
    <w:rsid w:val="00ED2BEC"/>
    <w:rsid w:val="00ED34DB"/>
    <w:rsid w:val="00ED4448"/>
    <w:rsid w:val="00EE35C5"/>
    <w:rsid w:val="00EE5B3D"/>
    <w:rsid w:val="00EE7645"/>
    <w:rsid w:val="00EE7966"/>
    <w:rsid w:val="00EE7E1D"/>
    <w:rsid w:val="00EF009A"/>
    <w:rsid w:val="00EF52D7"/>
    <w:rsid w:val="00EF6F4E"/>
    <w:rsid w:val="00F005DA"/>
    <w:rsid w:val="00F01247"/>
    <w:rsid w:val="00F03425"/>
    <w:rsid w:val="00F05CC5"/>
    <w:rsid w:val="00F10371"/>
    <w:rsid w:val="00F1098F"/>
    <w:rsid w:val="00F151B4"/>
    <w:rsid w:val="00F17477"/>
    <w:rsid w:val="00F20B49"/>
    <w:rsid w:val="00F210DB"/>
    <w:rsid w:val="00F21C89"/>
    <w:rsid w:val="00F21C8C"/>
    <w:rsid w:val="00F2349D"/>
    <w:rsid w:val="00F237D7"/>
    <w:rsid w:val="00F24B59"/>
    <w:rsid w:val="00F3388F"/>
    <w:rsid w:val="00F35B15"/>
    <w:rsid w:val="00F36E09"/>
    <w:rsid w:val="00F37D40"/>
    <w:rsid w:val="00F50885"/>
    <w:rsid w:val="00F50BC1"/>
    <w:rsid w:val="00F51C4E"/>
    <w:rsid w:val="00F52184"/>
    <w:rsid w:val="00F538F0"/>
    <w:rsid w:val="00F57236"/>
    <w:rsid w:val="00F62B5C"/>
    <w:rsid w:val="00F63161"/>
    <w:rsid w:val="00F6410D"/>
    <w:rsid w:val="00F67CEA"/>
    <w:rsid w:val="00F70BD8"/>
    <w:rsid w:val="00F72A4B"/>
    <w:rsid w:val="00F72A97"/>
    <w:rsid w:val="00F766AD"/>
    <w:rsid w:val="00F77B7F"/>
    <w:rsid w:val="00F81219"/>
    <w:rsid w:val="00F81D41"/>
    <w:rsid w:val="00F83381"/>
    <w:rsid w:val="00F848D7"/>
    <w:rsid w:val="00F916F2"/>
    <w:rsid w:val="00F928C2"/>
    <w:rsid w:val="00F94DEB"/>
    <w:rsid w:val="00F95134"/>
    <w:rsid w:val="00F9528D"/>
    <w:rsid w:val="00F95F6F"/>
    <w:rsid w:val="00F96C14"/>
    <w:rsid w:val="00FA0095"/>
    <w:rsid w:val="00FA649C"/>
    <w:rsid w:val="00FB28B5"/>
    <w:rsid w:val="00FB4978"/>
    <w:rsid w:val="00FB5818"/>
    <w:rsid w:val="00FB5D01"/>
    <w:rsid w:val="00FC3234"/>
    <w:rsid w:val="00FC7E6C"/>
    <w:rsid w:val="00FD3A7C"/>
    <w:rsid w:val="00FD49A9"/>
    <w:rsid w:val="00FE0B2A"/>
    <w:rsid w:val="00FE2111"/>
    <w:rsid w:val="00FE316A"/>
    <w:rsid w:val="00FE32EA"/>
    <w:rsid w:val="00FE4E1B"/>
    <w:rsid w:val="00FE6811"/>
    <w:rsid w:val="00FF0BBC"/>
    <w:rsid w:val="00FF16CE"/>
    <w:rsid w:val="00FF3D68"/>
    <w:rsid w:val="00FF43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C0"/>
    <w:pPr>
      <w:spacing w:after="120" w:line="276" w:lineRule="auto"/>
      <w:ind w:left="1701"/>
      <w:jc w:val="both"/>
    </w:pPr>
    <w:rPr>
      <w:rFonts w:ascii="Trebuchet MS" w:eastAsia="MS Mincho" w:hAnsi="Trebuchet MS"/>
      <w:sz w:val="22"/>
      <w:szCs w:val="22"/>
      <w:lang w:val="ro-RO"/>
    </w:rPr>
  </w:style>
  <w:style w:type="paragraph" w:styleId="Heading1">
    <w:name w:val="heading 1"/>
    <w:basedOn w:val="Normal"/>
    <w:next w:val="Normal"/>
    <w:qFormat/>
    <w:rsid w:val="008B577A"/>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rsid w:val="008B577A"/>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rsid w:val="008B577A"/>
    <w:pPr>
      <w:keepNext/>
      <w:spacing w:after="0" w:line="240" w:lineRule="auto"/>
      <w:jc w:val="center"/>
      <w:outlineLvl w:val="2"/>
    </w:pPr>
    <w:rPr>
      <w:b/>
      <w:bCs/>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rsid w:val="008B577A"/>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B577A"/>
    <w:rPr>
      <w:rFonts w:ascii="Calibri" w:eastAsia="MS Gothic" w:hAnsi="Calibri" w:cs="Calibri"/>
      <w:b/>
      <w:bCs/>
      <w:kern w:val="32"/>
      <w:sz w:val="32"/>
      <w:szCs w:val="32"/>
    </w:rPr>
  </w:style>
  <w:style w:type="character" w:customStyle="1" w:styleId="Heading2Char">
    <w:name w:val="Heading 2 Char"/>
    <w:rsid w:val="008B577A"/>
    <w:rPr>
      <w:rFonts w:ascii="Calibri" w:eastAsia="MS Gothic" w:hAnsi="Calibri" w:cs="Calibri"/>
      <w:b/>
      <w:bCs/>
      <w:i/>
      <w:iCs/>
      <w:sz w:val="28"/>
      <w:szCs w:val="28"/>
    </w:rPr>
  </w:style>
  <w:style w:type="paragraph" w:styleId="Header">
    <w:name w:val="header"/>
    <w:basedOn w:val="Normal"/>
    <w:uiPriority w:val="99"/>
    <w:rsid w:val="008B577A"/>
    <w:pPr>
      <w:tabs>
        <w:tab w:val="center" w:pos="4320"/>
        <w:tab w:val="right" w:pos="8640"/>
      </w:tabs>
    </w:pPr>
    <w:rPr>
      <w:rFonts w:ascii="Cambria" w:hAnsi="Cambria"/>
      <w:sz w:val="24"/>
      <w:szCs w:val="24"/>
    </w:rPr>
  </w:style>
  <w:style w:type="character" w:customStyle="1" w:styleId="HeaderChar">
    <w:name w:val="Header Char"/>
    <w:uiPriority w:val="99"/>
    <w:rsid w:val="008B577A"/>
    <w:rPr>
      <w:rFonts w:ascii="Times New Roman" w:hAnsi="Times New Roman" w:cs="Times New Roman"/>
      <w:sz w:val="24"/>
      <w:szCs w:val="24"/>
    </w:rPr>
  </w:style>
  <w:style w:type="paragraph" w:styleId="Footer">
    <w:name w:val="footer"/>
    <w:basedOn w:val="Normal"/>
    <w:uiPriority w:val="99"/>
    <w:rsid w:val="008B577A"/>
    <w:pPr>
      <w:tabs>
        <w:tab w:val="center" w:pos="4320"/>
        <w:tab w:val="right" w:pos="8640"/>
      </w:tabs>
    </w:pPr>
    <w:rPr>
      <w:rFonts w:ascii="Cambria" w:hAnsi="Cambria"/>
      <w:sz w:val="24"/>
      <w:szCs w:val="24"/>
    </w:rPr>
  </w:style>
  <w:style w:type="character" w:customStyle="1" w:styleId="FooterChar">
    <w:name w:val="Footer Char"/>
    <w:uiPriority w:val="99"/>
    <w:rsid w:val="008B577A"/>
    <w:rPr>
      <w:rFonts w:ascii="Times New Roman" w:hAnsi="Times New Roman" w:cs="Times New Roman"/>
      <w:sz w:val="24"/>
      <w:szCs w:val="24"/>
    </w:rPr>
  </w:style>
  <w:style w:type="paragraph" w:customStyle="1" w:styleId="MediumGrid21">
    <w:name w:val="Medium Grid 21"/>
    <w:rsid w:val="008B577A"/>
    <w:rPr>
      <w:rFonts w:ascii="Trebuchet MS" w:eastAsia="MS Mincho" w:hAnsi="Trebuchet MS"/>
      <w:sz w:val="18"/>
      <w:szCs w:val="18"/>
    </w:rPr>
  </w:style>
  <w:style w:type="character" w:customStyle="1" w:styleId="SubtleEmphasis1">
    <w:name w:val="Subtle Emphasis1"/>
    <w:rsid w:val="008B577A"/>
    <w:rPr>
      <w:color w:val="808080"/>
    </w:rPr>
  </w:style>
  <w:style w:type="character" w:styleId="Emphasis">
    <w:name w:val="Emphasis"/>
    <w:qFormat/>
    <w:rsid w:val="008B577A"/>
    <w:rPr>
      <w:rFonts w:ascii="Times New Roman" w:hAnsi="Times New Roman" w:cs="Times New Roman"/>
      <w:i/>
      <w:iCs/>
    </w:rPr>
  </w:style>
  <w:style w:type="character" w:customStyle="1" w:styleId="IntenseEmphasis1">
    <w:name w:val="Intense Emphasis1"/>
    <w:rsid w:val="008B577A"/>
    <w:rPr>
      <w:b/>
      <w:i/>
      <w:color w:val="auto"/>
    </w:rPr>
  </w:style>
  <w:style w:type="character" w:styleId="Strong">
    <w:name w:val="Strong"/>
    <w:qFormat/>
    <w:rsid w:val="008B577A"/>
    <w:rPr>
      <w:rFonts w:ascii="Times New Roman" w:hAnsi="Times New Roman" w:cs="Times New Roman"/>
      <w:b/>
      <w:bCs/>
    </w:rPr>
  </w:style>
  <w:style w:type="paragraph" w:customStyle="1" w:styleId="ColorfulGrid-Accent11">
    <w:name w:val="Colorful Grid - Accent 11"/>
    <w:basedOn w:val="Normal"/>
    <w:next w:val="Normal"/>
    <w:rsid w:val="008B577A"/>
    <w:rPr>
      <w:i/>
      <w:iCs/>
      <w:color w:val="000000"/>
    </w:rPr>
  </w:style>
  <w:style w:type="character" w:customStyle="1" w:styleId="ColorfulGrid-Accent1Char">
    <w:name w:val="Colorful Grid - Accent 1 Char"/>
    <w:rsid w:val="008B577A"/>
    <w:rPr>
      <w:rFonts w:ascii="Trebuchet MS" w:hAnsi="Trebuchet MS"/>
      <w:i/>
      <w:color w:val="000000"/>
      <w:sz w:val="22"/>
    </w:rPr>
  </w:style>
  <w:style w:type="paragraph" w:styleId="Title">
    <w:name w:val="Title"/>
    <w:basedOn w:val="Normal"/>
    <w:next w:val="Normal"/>
    <w:qFormat/>
    <w:rsid w:val="008B577A"/>
    <w:pPr>
      <w:spacing w:before="240" w:after="60"/>
      <w:jc w:val="left"/>
      <w:outlineLvl w:val="0"/>
    </w:pPr>
    <w:rPr>
      <w:rFonts w:ascii="Calibri" w:eastAsia="MS Gothic" w:hAnsi="Calibri"/>
      <w:b/>
      <w:bCs/>
      <w:kern w:val="28"/>
      <w:sz w:val="32"/>
      <w:szCs w:val="32"/>
    </w:rPr>
  </w:style>
  <w:style w:type="character" w:customStyle="1" w:styleId="TitleChar">
    <w:name w:val="Title Char"/>
    <w:rsid w:val="008B577A"/>
    <w:rPr>
      <w:rFonts w:ascii="Calibri" w:eastAsia="MS Gothic" w:hAnsi="Calibri" w:cs="Calibri"/>
      <w:b/>
      <w:bCs/>
      <w:kern w:val="28"/>
      <w:sz w:val="32"/>
      <w:szCs w:val="32"/>
    </w:rPr>
  </w:style>
  <w:style w:type="paragraph" w:styleId="BalloonText">
    <w:name w:val="Balloon Text"/>
    <w:basedOn w:val="Normal"/>
    <w:rsid w:val="008B577A"/>
    <w:pPr>
      <w:spacing w:after="0" w:line="240" w:lineRule="auto"/>
    </w:pPr>
    <w:rPr>
      <w:rFonts w:ascii="Tahoma" w:hAnsi="Tahoma" w:cs="Tahoma"/>
      <w:sz w:val="16"/>
      <w:szCs w:val="16"/>
    </w:rPr>
  </w:style>
  <w:style w:type="character" w:customStyle="1" w:styleId="BalloonTextChar">
    <w:name w:val="Balloon Text Char"/>
    <w:rsid w:val="008B577A"/>
    <w:rPr>
      <w:rFonts w:ascii="Tahoma" w:hAnsi="Tahoma" w:cs="Tahoma"/>
      <w:sz w:val="16"/>
      <w:szCs w:val="16"/>
    </w:rPr>
  </w:style>
  <w:style w:type="paragraph" w:styleId="ListParagraph">
    <w:name w:val="List Paragraph"/>
    <w:aliases w:val="Akapit z listą BS,Outlines a.b.c.,List_Paragraph,Multilevel para_II,Akapit z lista BS"/>
    <w:basedOn w:val="Normal"/>
    <w:uiPriority w:val="34"/>
    <w:qFormat/>
    <w:rsid w:val="008B577A"/>
    <w:pPr>
      <w:ind w:left="720"/>
    </w:pPr>
  </w:style>
  <w:style w:type="character" w:customStyle="1" w:styleId="Heading6Char">
    <w:name w:val="Heading 6 Char"/>
    <w:rsid w:val="008B577A"/>
    <w:rPr>
      <w:rFonts w:ascii="Cambria" w:hAnsi="Cambria" w:cs="Times New Roman"/>
      <w:i/>
      <w:iCs/>
      <w:color w:val="243F60"/>
    </w:rPr>
  </w:style>
  <w:style w:type="paragraph" w:styleId="BodyTextIndent">
    <w:name w:val="Body Text Indent"/>
    <w:basedOn w:val="Normal"/>
    <w:semiHidden/>
    <w:rsid w:val="008B577A"/>
    <w:pPr>
      <w:spacing w:line="240" w:lineRule="auto"/>
    </w:pPr>
  </w:style>
  <w:style w:type="paragraph" w:customStyle="1" w:styleId="Style10">
    <w:name w:val="Style10"/>
    <w:basedOn w:val="Normal"/>
    <w:rsid w:val="008B577A"/>
    <w:pPr>
      <w:widowControl w:val="0"/>
      <w:autoSpaceDE w:val="0"/>
      <w:autoSpaceDN w:val="0"/>
      <w:adjustRightInd w:val="0"/>
      <w:spacing w:after="0" w:line="300" w:lineRule="exact"/>
      <w:ind w:left="0" w:hanging="315"/>
    </w:pPr>
    <w:rPr>
      <w:rFonts w:ascii="Segoe UI" w:eastAsia="Times New Roman" w:hAnsi="Segoe UI"/>
      <w:sz w:val="24"/>
      <w:szCs w:val="24"/>
      <w:lang w:eastAsia="ro-RO"/>
    </w:rPr>
  </w:style>
  <w:style w:type="paragraph" w:customStyle="1" w:styleId="Style16">
    <w:name w:val="Style16"/>
    <w:basedOn w:val="Normal"/>
    <w:rsid w:val="008B577A"/>
    <w:pPr>
      <w:widowControl w:val="0"/>
      <w:autoSpaceDE w:val="0"/>
      <w:autoSpaceDN w:val="0"/>
      <w:adjustRightInd w:val="0"/>
      <w:spacing w:after="0" w:line="285" w:lineRule="exact"/>
      <w:ind w:left="0" w:hanging="345"/>
    </w:pPr>
    <w:rPr>
      <w:rFonts w:ascii="Segoe UI" w:eastAsia="Times New Roman" w:hAnsi="Segoe UI"/>
      <w:sz w:val="24"/>
      <w:szCs w:val="24"/>
      <w:lang w:eastAsia="ro-RO"/>
    </w:rPr>
  </w:style>
  <w:style w:type="character" w:customStyle="1" w:styleId="FontStyle33">
    <w:name w:val="Font Style33"/>
    <w:rsid w:val="008B577A"/>
    <w:rPr>
      <w:rFonts w:ascii="Arial" w:hAnsi="Arial" w:cs="Arial"/>
      <w:b/>
      <w:bCs/>
      <w:sz w:val="14"/>
      <w:szCs w:val="14"/>
    </w:rPr>
  </w:style>
  <w:style w:type="character" w:customStyle="1" w:styleId="FontStyle38">
    <w:name w:val="Font Style38"/>
    <w:rsid w:val="008B577A"/>
    <w:rPr>
      <w:rFonts w:ascii="Arial" w:hAnsi="Arial" w:cs="Arial"/>
      <w:b/>
      <w:bCs/>
      <w:i/>
      <w:iCs/>
      <w:sz w:val="16"/>
      <w:szCs w:val="16"/>
    </w:rPr>
  </w:style>
  <w:style w:type="character" w:customStyle="1" w:styleId="FontStyle44">
    <w:name w:val="Font Style44"/>
    <w:rsid w:val="008B577A"/>
    <w:rPr>
      <w:rFonts w:ascii="Arial" w:hAnsi="Arial" w:cs="Arial"/>
      <w:b/>
      <w:bCs/>
      <w:sz w:val="16"/>
      <w:szCs w:val="16"/>
    </w:rPr>
  </w:style>
  <w:style w:type="paragraph" w:customStyle="1" w:styleId="Style11">
    <w:name w:val="Style11"/>
    <w:basedOn w:val="Normal"/>
    <w:rsid w:val="008B577A"/>
    <w:pPr>
      <w:widowControl w:val="0"/>
      <w:autoSpaceDE w:val="0"/>
      <w:autoSpaceDN w:val="0"/>
      <w:adjustRightInd w:val="0"/>
      <w:spacing w:after="0" w:line="300" w:lineRule="exact"/>
      <w:ind w:left="0"/>
    </w:pPr>
    <w:rPr>
      <w:rFonts w:ascii="Segoe UI" w:eastAsia="Times New Roman" w:hAnsi="Segoe UI"/>
      <w:sz w:val="24"/>
      <w:szCs w:val="24"/>
      <w:lang w:eastAsia="ro-RO"/>
    </w:rPr>
  </w:style>
  <w:style w:type="character" w:customStyle="1" w:styleId="FontStyle29">
    <w:name w:val="Font Style29"/>
    <w:rsid w:val="008B577A"/>
    <w:rPr>
      <w:rFonts w:ascii="Arial" w:hAnsi="Arial" w:cs="Arial"/>
      <w:b/>
      <w:bCs/>
      <w:i/>
      <w:iCs/>
      <w:spacing w:val="-10"/>
      <w:sz w:val="12"/>
      <w:szCs w:val="12"/>
    </w:rPr>
  </w:style>
  <w:style w:type="character" w:customStyle="1" w:styleId="FontStyle30">
    <w:name w:val="Font Style30"/>
    <w:rsid w:val="008B577A"/>
    <w:rPr>
      <w:rFonts w:ascii="Constantia" w:hAnsi="Constantia" w:cs="Constantia"/>
      <w:b/>
      <w:bCs/>
      <w:i/>
      <w:iCs/>
      <w:sz w:val="16"/>
      <w:szCs w:val="16"/>
    </w:rPr>
  </w:style>
  <w:style w:type="character" w:customStyle="1" w:styleId="FontStyle35">
    <w:name w:val="Font Style35"/>
    <w:rsid w:val="008B577A"/>
    <w:rPr>
      <w:rFonts w:ascii="Arial" w:hAnsi="Arial" w:cs="Arial"/>
      <w:b/>
      <w:bCs/>
      <w:sz w:val="16"/>
      <w:szCs w:val="16"/>
    </w:rPr>
  </w:style>
  <w:style w:type="character" w:customStyle="1" w:styleId="FontStyle36">
    <w:name w:val="Font Style36"/>
    <w:rsid w:val="008B577A"/>
    <w:rPr>
      <w:rFonts w:ascii="Arial" w:hAnsi="Arial" w:cs="Arial"/>
      <w:b/>
      <w:bCs/>
      <w:spacing w:val="-20"/>
      <w:sz w:val="20"/>
      <w:szCs w:val="20"/>
    </w:rPr>
  </w:style>
  <w:style w:type="character" w:customStyle="1" w:styleId="FontStyle47">
    <w:name w:val="Font Style47"/>
    <w:rsid w:val="008B577A"/>
    <w:rPr>
      <w:rFonts w:ascii="Candara" w:hAnsi="Candara" w:cs="Candara"/>
      <w:b/>
      <w:bCs/>
      <w:sz w:val="14"/>
      <w:szCs w:val="14"/>
    </w:rPr>
  </w:style>
  <w:style w:type="paragraph" w:customStyle="1" w:styleId="Style13">
    <w:name w:val="Style13"/>
    <w:basedOn w:val="Normal"/>
    <w:rsid w:val="008B577A"/>
    <w:pPr>
      <w:widowControl w:val="0"/>
      <w:autoSpaceDE w:val="0"/>
      <w:autoSpaceDN w:val="0"/>
      <w:adjustRightInd w:val="0"/>
      <w:spacing w:after="0" w:line="315" w:lineRule="exact"/>
      <w:ind w:left="0"/>
    </w:pPr>
    <w:rPr>
      <w:rFonts w:ascii="Segoe UI" w:eastAsia="Times New Roman" w:hAnsi="Segoe UI"/>
      <w:sz w:val="24"/>
      <w:szCs w:val="24"/>
      <w:lang w:eastAsia="ro-RO"/>
    </w:rPr>
  </w:style>
  <w:style w:type="paragraph" w:customStyle="1" w:styleId="Style15">
    <w:name w:val="Style15"/>
    <w:basedOn w:val="Normal"/>
    <w:rsid w:val="008B577A"/>
    <w:pPr>
      <w:widowControl w:val="0"/>
      <w:autoSpaceDE w:val="0"/>
      <w:autoSpaceDN w:val="0"/>
      <w:adjustRightInd w:val="0"/>
      <w:spacing w:after="0" w:line="308" w:lineRule="exact"/>
      <w:ind w:left="0"/>
      <w:jc w:val="left"/>
    </w:pPr>
    <w:rPr>
      <w:rFonts w:ascii="Segoe UI" w:eastAsia="Times New Roman" w:hAnsi="Segoe UI"/>
      <w:sz w:val="24"/>
      <w:szCs w:val="24"/>
      <w:lang w:eastAsia="ro-RO"/>
    </w:rPr>
  </w:style>
  <w:style w:type="character" w:customStyle="1" w:styleId="FontStyle37">
    <w:name w:val="Font Style37"/>
    <w:rsid w:val="008B577A"/>
    <w:rPr>
      <w:rFonts w:ascii="Arial" w:hAnsi="Arial" w:cs="Arial"/>
      <w:i/>
      <w:iCs/>
      <w:spacing w:val="-10"/>
      <w:sz w:val="18"/>
      <w:szCs w:val="18"/>
    </w:rPr>
  </w:style>
  <w:style w:type="paragraph" w:customStyle="1" w:styleId="Style14">
    <w:name w:val="Style14"/>
    <w:basedOn w:val="Normal"/>
    <w:rsid w:val="008B577A"/>
    <w:pPr>
      <w:widowControl w:val="0"/>
      <w:autoSpaceDE w:val="0"/>
      <w:autoSpaceDN w:val="0"/>
      <w:adjustRightInd w:val="0"/>
      <w:spacing w:after="0" w:line="293" w:lineRule="exact"/>
      <w:ind w:left="0" w:hanging="330"/>
    </w:pPr>
    <w:rPr>
      <w:rFonts w:ascii="Segoe UI" w:eastAsia="Times New Roman" w:hAnsi="Segoe UI"/>
      <w:sz w:val="24"/>
      <w:szCs w:val="24"/>
      <w:lang w:eastAsia="ro-RO"/>
    </w:rPr>
  </w:style>
  <w:style w:type="character" w:styleId="PageNumber">
    <w:name w:val="page number"/>
    <w:basedOn w:val="DefaultParagraphFont"/>
    <w:semiHidden/>
    <w:rsid w:val="008B577A"/>
  </w:style>
  <w:style w:type="paragraph" w:styleId="FootnoteText">
    <w:name w:val="footnote text"/>
    <w:basedOn w:val="Normal"/>
    <w:semiHidden/>
    <w:rsid w:val="008B577A"/>
    <w:rPr>
      <w:sz w:val="20"/>
      <w:szCs w:val="20"/>
    </w:rPr>
  </w:style>
  <w:style w:type="character" w:styleId="FootnoteReference">
    <w:name w:val="footnote reference"/>
    <w:semiHidden/>
    <w:rsid w:val="008B577A"/>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rsid w:val="008B577A"/>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rsid w:val="008B577A"/>
    <w:pPr>
      <w:spacing w:after="0" w:line="240" w:lineRule="auto"/>
      <w:ind w:left="0"/>
      <w:jc w:val="left"/>
    </w:pPr>
    <w:rPr>
      <w:rFonts w:ascii="Calibri" w:eastAsia="Calibri" w:hAnsi="Calibri"/>
      <w:szCs w:val="21"/>
    </w:rPr>
  </w:style>
  <w:style w:type="paragraph" w:styleId="BodyText2">
    <w:name w:val="Body Text 2"/>
    <w:basedOn w:val="Normal"/>
    <w:semiHidden/>
    <w:rsid w:val="008B577A"/>
    <w:pPr>
      <w:spacing w:line="240" w:lineRule="auto"/>
      <w:ind w:left="0"/>
    </w:pPr>
    <w:rPr>
      <w:bCs/>
      <w:color w:val="000000"/>
      <w:sz w:val="20"/>
      <w:szCs w:val="24"/>
    </w:rPr>
  </w:style>
  <w:style w:type="paragraph" w:styleId="BodyTextIndent3">
    <w:name w:val="Body Text Indent 3"/>
    <w:basedOn w:val="Normal"/>
    <w:semiHidden/>
    <w:rsid w:val="008B577A"/>
    <w:pPr>
      <w:suppressAutoHyphens/>
      <w:spacing w:before="120" w:after="0" w:line="240" w:lineRule="auto"/>
      <w:ind w:left="0" w:firstLine="720"/>
    </w:pPr>
    <w:rPr>
      <w:rFonts w:ascii="Calibri" w:eastAsia="Times New Roman" w:hAnsi="Calibri"/>
      <w:sz w:val="28"/>
      <w:szCs w:val="28"/>
      <w:lang w:eastAsia="zh-CN"/>
    </w:rPr>
  </w:style>
  <w:style w:type="character" w:customStyle="1" w:styleId="rvts4">
    <w:name w:val="rvts4"/>
    <w:basedOn w:val="DefaultParagraphFont"/>
    <w:rsid w:val="008B577A"/>
  </w:style>
  <w:style w:type="paragraph" w:styleId="BodyTextIndent2">
    <w:name w:val="Body Text Indent 2"/>
    <w:basedOn w:val="Normal"/>
    <w:semiHidden/>
    <w:rsid w:val="008B577A"/>
    <w:pPr>
      <w:spacing w:line="240" w:lineRule="auto"/>
    </w:pPr>
    <w:rPr>
      <w:b/>
      <w:bCs/>
    </w:rPr>
  </w:style>
  <w:style w:type="character" w:customStyle="1" w:styleId="rvts6">
    <w:name w:val="rvts6"/>
    <w:basedOn w:val="DefaultParagraphFont"/>
    <w:rsid w:val="008B577A"/>
  </w:style>
  <w:style w:type="character" w:customStyle="1" w:styleId="rvts12">
    <w:name w:val="rvts12"/>
    <w:basedOn w:val="DefaultParagraphFont"/>
    <w:rsid w:val="008B577A"/>
  </w:style>
  <w:style w:type="paragraph" w:customStyle="1" w:styleId="CM1">
    <w:name w:val="CM1"/>
    <w:basedOn w:val="Normal"/>
    <w:next w:val="Normal"/>
    <w:rsid w:val="008B577A"/>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rsid w:val="008B577A"/>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rsid w:val="008B577A"/>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semiHidden/>
    <w:rsid w:val="008B577A"/>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rsid w:val="008B577A"/>
  </w:style>
  <w:style w:type="character" w:styleId="CommentReference">
    <w:name w:val="annotation reference"/>
    <w:semiHidden/>
    <w:rsid w:val="008B577A"/>
    <w:rPr>
      <w:sz w:val="16"/>
      <w:szCs w:val="16"/>
    </w:rPr>
  </w:style>
  <w:style w:type="paragraph" w:styleId="CommentText">
    <w:name w:val="annotation text"/>
    <w:basedOn w:val="Normal"/>
    <w:link w:val="CommentTextChar"/>
    <w:semiHidden/>
    <w:rsid w:val="008B577A"/>
    <w:rPr>
      <w:sz w:val="20"/>
      <w:szCs w:val="20"/>
    </w:rPr>
  </w:style>
  <w:style w:type="character" w:customStyle="1" w:styleId="atn">
    <w:name w:val="atn"/>
    <w:basedOn w:val="DefaultParagraphFont"/>
    <w:rsid w:val="008B577A"/>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30"/>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E3658"/>
    <w:rPr>
      <w:rFonts w:ascii="Trebuchet MS" w:eastAsia="MS Mincho" w:hAnsi="Trebuchet MS"/>
      <w:sz w:val="22"/>
      <w:szCs w:val="22"/>
      <w:lang w:val="ro-RO"/>
    </w:rPr>
  </w:style>
</w:styles>
</file>

<file path=word/webSettings.xml><?xml version="1.0" encoding="utf-8"?>
<w:webSettings xmlns:r="http://schemas.openxmlformats.org/officeDocument/2006/relationships" xmlns:w="http://schemas.openxmlformats.org/wordprocessingml/2006/main">
  <w:divs>
    <w:div w:id="7069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42D8E-986F-4DBE-97F0-2B1B566C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4237</Words>
  <Characters>27174</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Cristina Economu</dc:creator>
  <cp:keywords/>
  <cp:lastModifiedBy>utilizator sapl11</cp:lastModifiedBy>
  <cp:revision>56</cp:revision>
  <cp:lastPrinted>2023-02-22T11:21:00Z</cp:lastPrinted>
  <dcterms:created xsi:type="dcterms:W3CDTF">2022-09-27T12:01:00Z</dcterms:created>
  <dcterms:modified xsi:type="dcterms:W3CDTF">2023-02-22T15:31:00Z</dcterms:modified>
</cp:coreProperties>
</file>